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A79E" w14:textId="2E2666E9" w:rsidR="001650B1" w:rsidRDefault="001650B1" w:rsidP="00ED3254">
      <w:pPr>
        <w:pStyle w:val="Virsraksts1"/>
      </w:pPr>
      <w:bookmarkStart w:id="0" w:name="_Toc231471626"/>
      <w:r>
        <w:t>Izmaksu pieauguma situācijas raksturojums</w:t>
      </w:r>
    </w:p>
    <w:p w14:paraId="660E5792" w14:textId="3E4E3B87" w:rsidR="001650B1" w:rsidRDefault="001650B1" w:rsidP="001650B1">
      <w:pPr>
        <w:pStyle w:val="Parakstszemobjekta"/>
        <w:spacing w:before="100" w:after="60"/>
      </w:pPr>
      <w:r>
        <w:t xml:space="preserve">Tabula 1: CSP Transporta objektu izmaksu vēsturisko gada izmaiņu salīdzinājums marta un aprīļa mēnesim </w:t>
      </w:r>
    </w:p>
    <w:tbl>
      <w:tblPr>
        <w:tblStyle w:val="KPMGFinancialTable"/>
        <w:tblW w:w="0" w:type="auto"/>
        <w:tblLook w:val="04A0" w:firstRow="1" w:lastRow="0" w:firstColumn="1" w:lastColumn="0" w:noHBand="0" w:noVBand="1"/>
      </w:tblPr>
      <w:tblGrid>
        <w:gridCol w:w="2126"/>
        <w:gridCol w:w="1063"/>
        <w:gridCol w:w="1063"/>
        <w:gridCol w:w="1063"/>
        <w:gridCol w:w="1063"/>
        <w:gridCol w:w="1063"/>
        <w:gridCol w:w="1064"/>
      </w:tblGrid>
      <w:tr w:rsidR="001650B1" w:rsidRPr="008E3182" w14:paraId="6EBFC22D" w14:textId="77777777" w:rsidTr="00783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bottom w:val="nil"/>
            </w:tcBorders>
            <w:vAlign w:val="center"/>
          </w:tcPr>
          <w:p w14:paraId="4F425D85" w14:textId="77777777" w:rsidR="001650B1" w:rsidRPr="00B31666" w:rsidRDefault="001650B1" w:rsidP="00783F56">
            <w:pPr>
              <w:spacing w:after="40"/>
            </w:pPr>
            <w:r w:rsidRPr="00932FC8">
              <w:t>Rādītājs</w:t>
            </w:r>
          </w:p>
        </w:tc>
        <w:tc>
          <w:tcPr>
            <w:tcW w:w="2126" w:type="dxa"/>
            <w:gridSpan w:val="2"/>
            <w:tcBorders>
              <w:bottom w:val="nil"/>
            </w:tcBorders>
            <w:vAlign w:val="center"/>
          </w:tcPr>
          <w:p w14:paraId="400A9D38" w14:textId="77777777" w:rsidR="001650B1" w:rsidRPr="00B31666" w:rsidRDefault="001650B1" w:rsidP="00783F56">
            <w:pPr>
              <w:spacing w:after="40"/>
              <w:cnfStyle w:val="100000000000" w:firstRow="1" w:lastRow="0" w:firstColumn="0" w:lastColumn="0" w:oddVBand="0" w:evenVBand="0" w:oddHBand="0" w:evenHBand="0" w:firstRowFirstColumn="0" w:firstRowLastColumn="0" w:lastRowFirstColumn="0" w:lastRowLastColumn="0"/>
            </w:pPr>
            <w:r w:rsidRPr="00932FC8">
              <w:t>2023. – 2025. vidējā gada izmaiņa</w:t>
            </w:r>
            <w:r>
              <w:t>*</w:t>
            </w:r>
          </w:p>
        </w:tc>
        <w:tc>
          <w:tcPr>
            <w:tcW w:w="2126" w:type="dxa"/>
            <w:gridSpan w:val="2"/>
            <w:tcBorders>
              <w:bottom w:val="nil"/>
            </w:tcBorders>
            <w:vAlign w:val="center"/>
          </w:tcPr>
          <w:p w14:paraId="723E4861" w14:textId="77777777" w:rsidR="001650B1" w:rsidRPr="00B31666" w:rsidRDefault="001650B1" w:rsidP="00783F56">
            <w:pPr>
              <w:spacing w:after="40"/>
              <w:cnfStyle w:val="100000000000" w:firstRow="1" w:lastRow="0" w:firstColumn="0" w:lastColumn="0" w:oddVBand="0" w:evenVBand="0" w:oddHBand="0" w:evenHBand="0" w:firstRowFirstColumn="0" w:firstRowLastColumn="0" w:lastRowFirstColumn="0" w:lastRowLastColumn="0"/>
            </w:pPr>
            <w:r w:rsidRPr="00932FC8">
              <w:t xml:space="preserve">2026. gada izmaiņa </w:t>
            </w:r>
          </w:p>
        </w:tc>
        <w:tc>
          <w:tcPr>
            <w:tcW w:w="2127" w:type="dxa"/>
            <w:gridSpan w:val="2"/>
            <w:tcBorders>
              <w:bottom w:val="nil"/>
            </w:tcBorders>
            <w:vAlign w:val="center"/>
          </w:tcPr>
          <w:p w14:paraId="5A6BA5AD" w14:textId="77777777" w:rsidR="001650B1" w:rsidRPr="00B31666" w:rsidRDefault="001650B1" w:rsidP="00783F56">
            <w:pPr>
              <w:spacing w:after="40"/>
              <w:cnfStyle w:val="100000000000" w:firstRow="1" w:lastRow="0" w:firstColumn="0" w:lastColumn="0" w:oddVBand="0" w:evenVBand="0" w:oddHBand="0" w:evenHBand="0" w:firstRowFirstColumn="0" w:firstRowLastColumn="0" w:lastRowFirstColumn="0" w:lastRowLastColumn="0"/>
            </w:pPr>
            <w:r w:rsidRPr="00932FC8">
              <w:t>2026. gads pret vēsturisko vidējo</w:t>
            </w:r>
          </w:p>
        </w:tc>
      </w:tr>
      <w:tr w:rsidR="001650B1" w:rsidRPr="008E3182" w14:paraId="4CC0F61E" w14:textId="77777777" w:rsidTr="00783F56">
        <w:tc>
          <w:tcPr>
            <w:cnfStyle w:val="001000000000" w:firstRow="0" w:lastRow="0" w:firstColumn="1" w:lastColumn="0" w:oddVBand="0" w:evenVBand="0" w:oddHBand="0" w:evenHBand="0" w:firstRowFirstColumn="0" w:firstRowLastColumn="0" w:lastRowFirstColumn="0" w:lastRowLastColumn="0"/>
            <w:tcW w:w="2126" w:type="dxa"/>
            <w:tcBorders>
              <w:bottom w:val="single" w:sz="4" w:space="0" w:color="auto"/>
            </w:tcBorders>
            <w:vAlign w:val="center"/>
          </w:tcPr>
          <w:p w14:paraId="4D891A81" w14:textId="77777777" w:rsidR="001650B1" w:rsidRPr="00932FC8" w:rsidRDefault="001650B1" w:rsidP="00783F56">
            <w:pPr>
              <w:spacing w:after="40"/>
            </w:pPr>
          </w:p>
        </w:tc>
        <w:tc>
          <w:tcPr>
            <w:tcW w:w="1063" w:type="dxa"/>
            <w:tcBorders>
              <w:bottom w:val="single" w:sz="4" w:space="0" w:color="auto"/>
            </w:tcBorders>
            <w:vAlign w:val="center"/>
          </w:tcPr>
          <w:p w14:paraId="1FCA9EE8" w14:textId="77777777" w:rsidR="001650B1" w:rsidRPr="007A18D8"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rPr>
                <w:b/>
                <w:bCs/>
              </w:rPr>
            </w:pPr>
            <w:r w:rsidRPr="007A18D8">
              <w:rPr>
                <w:b/>
                <w:bCs/>
              </w:rPr>
              <w:t>Marts</w:t>
            </w:r>
          </w:p>
        </w:tc>
        <w:tc>
          <w:tcPr>
            <w:tcW w:w="1063" w:type="dxa"/>
            <w:tcBorders>
              <w:bottom w:val="single" w:sz="4" w:space="0" w:color="auto"/>
            </w:tcBorders>
            <w:vAlign w:val="center"/>
          </w:tcPr>
          <w:p w14:paraId="3B3EEE2B" w14:textId="77777777" w:rsidR="001650B1" w:rsidRPr="007A18D8"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rPr>
                <w:b/>
                <w:bCs/>
              </w:rPr>
            </w:pPr>
            <w:r w:rsidRPr="007A18D8">
              <w:rPr>
                <w:b/>
                <w:bCs/>
              </w:rPr>
              <w:t>Aprīlis</w:t>
            </w:r>
          </w:p>
        </w:tc>
        <w:tc>
          <w:tcPr>
            <w:tcW w:w="1063" w:type="dxa"/>
            <w:tcBorders>
              <w:bottom w:val="single" w:sz="4" w:space="0" w:color="auto"/>
            </w:tcBorders>
            <w:vAlign w:val="center"/>
          </w:tcPr>
          <w:p w14:paraId="7843B0D3" w14:textId="77777777" w:rsidR="001650B1" w:rsidRPr="007A18D8"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rPr>
                <w:b/>
                <w:bCs/>
              </w:rPr>
            </w:pPr>
            <w:r w:rsidRPr="007A18D8">
              <w:rPr>
                <w:b/>
                <w:bCs/>
              </w:rPr>
              <w:t>Marts</w:t>
            </w:r>
          </w:p>
        </w:tc>
        <w:tc>
          <w:tcPr>
            <w:tcW w:w="1063" w:type="dxa"/>
            <w:tcBorders>
              <w:bottom w:val="single" w:sz="4" w:space="0" w:color="auto"/>
            </w:tcBorders>
            <w:vAlign w:val="center"/>
          </w:tcPr>
          <w:p w14:paraId="57E37A40" w14:textId="77777777" w:rsidR="001650B1" w:rsidRPr="007A18D8"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rPr>
                <w:b/>
                <w:bCs/>
              </w:rPr>
            </w:pPr>
            <w:r w:rsidRPr="007A18D8">
              <w:rPr>
                <w:b/>
                <w:bCs/>
              </w:rPr>
              <w:t>Aprīlis</w:t>
            </w:r>
          </w:p>
        </w:tc>
        <w:tc>
          <w:tcPr>
            <w:tcW w:w="1063" w:type="dxa"/>
            <w:tcBorders>
              <w:bottom w:val="single" w:sz="4" w:space="0" w:color="auto"/>
            </w:tcBorders>
            <w:vAlign w:val="center"/>
          </w:tcPr>
          <w:p w14:paraId="4CD5BCCB" w14:textId="77777777" w:rsidR="001650B1" w:rsidRPr="007A18D8"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rPr>
                <w:b/>
                <w:bCs/>
              </w:rPr>
            </w:pPr>
            <w:r w:rsidRPr="007A18D8">
              <w:rPr>
                <w:b/>
                <w:bCs/>
              </w:rPr>
              <w:t>Marts</w:t>
            </w:r>
          </w:p>
        </w:tc>
        <w:tc>
          <w:tcPr>
            <w:tcW w:w="1064" w:type="dxa"/>
            <w:tcBorders>
              <w:bottom w:val="single" w:sz="4" w:space="0" w:color="auto"/>
            </w:tcBorders>
            <w:vAlign w:val="center"/>
          </w:tcPr>
          <w:p w14:paraId="3EB8A5E4" w14:textId="77777777" w:rsidR="001650B1" w:rsidRPr="007A18D8"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rPr>
                <w:b/>
                <w:bCs/>
              </w:rPr>
            </w:pPr>
            <w:r w:rsidRPr="007A18D8">
              <w:rPr>
                <w:b/>
                <w:bCs/>
              </w:rPr>
              <w:t>Aprīlis</w:t>
            </w:r>
          </w:p>
        </w:tc>
      </w:tr>
      <w:tr w:rsidR="001650B1" w:rsidRPr="008E3182" w14:paraId="324DEFC1" w14:textId="77777777" w:rsidTr="00783F56">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tcBorders>
            <w:shd w:val="clear" w:color="auto" w:fill="F2F2F2" w:themeFill="background1" w:themeFillShade="F2"/>
            <w:vAlign w:val="center"/>
          </w:tcPr>
          <w:p w14:paraId="21AEB205" w14:textId="77777777" w:rsidR="001650B1" w:rsidRPr="008E3182" w:rsidRDefault="001650B1" w:rsidP="00783F56">
            <w:pPr>
              <w:spacing w:after="40"/>
            </w:pPr>
            <w:r w:rsidRPr="008E3182">
              <w:t>Transporta objekti kopā</w:t>
            </w:r>
          </w:p>
        </w:tc>
        <w:tc>
          <w:tcPr>
            <w:tcW w:w="1063" w:type="dxa"/>
            <w:tcBorders>
              <w:top w:val="single" w:sz="4" w:space="0" w:color="auto"/>
            </w:tcBorders>
            <w:shd w:val="clear" w:color="auto" w:fill="F2F2F2" w:themeFill="background1" w:themeFillShade="F2"/>
            <w:vAlign w:val="top"/>
          </w:tcPr>
          <w:p w14:paraId="45F02A7B"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1.1%</w:t>
            </w:r>
          </w:p>
        </w:tc>
        <w:tc>
          <w:tcPr>
            <w:tcW w:w="1063" w:type="dxa"/>
            <w:tcBorders>
              <w:top w:val="single" w:sz="4" w:space="0" w:color="auto"/>
            </w:tcBorders>
            <w:shd w:val="clear" w:color="auto" w:fill="F2F2F2" w:themeFill="background1" w:themeFillShade="F2"/>
            <w:vAlign w:val="top"/>
          </w:tcPr>
          <w:p w14:paraId="299A8129"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1.1%</w:t>
            </w:r>
          </w:p>
        </w:tc>
        <w:tc>
          <w:tcPr>
            <w:tcW w:w="1063" w:type="dxa"/>
            <w:tcBorders>
              <w:top w:val="single" w:sz="4" w:space="0" w:color="auto"/>
            </w:tcBorders>
            <w:shd w:val="clear" w:color="auto" w:fill="F2F2F2" w:themeFill="background1" w:themeFillShade="F2"/>
            <w:vAlign w:val="top"/>
          </w:tcPr>
          <w:p w14:paraId="2759B885"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1.8%</w:t>
            </w:r>
          </w:p>
        </w:tc>
        <w:tc>
          <w:tcPr>
            <w:tcW w:w="1063" w:type="dxa"/>
            <w:tcBorders>
              <w:top w:val="single" w:sz="4" w:space="0" w:color="auto"/>
            </w:tcBorders>
            <w:shd w:val="clear" w:color="auto" w:fill="F2F2F2" w:themeFill="background1" w:themeFillShade="F2"/>
            <w:vAlign w:val="top"/>
          </w:tcPr>
          <w:p w14:paraId="380889C1"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4.8%</w:t>
            </w:r>
          </w:p>
        </w:tc>
        <w:tc>
          <w:tcPr>
            <w:tcW w:w="1063" w:type="dxa"/>
            <w:tcBorders>
              <w:top w:val="single" w:sz="4" w:space="0" w:color="auto"/>
            </w:tcBorders>
            <w:shd w:val="clear" w:color="auto" w:fill="F2F2F2" w:themeFill="background1" w:themeFillShade="F2"/>
            <w:vAlign w:val="top"/>
          </w:tcPr>
          <w:p w14:paraId="3A9976DF"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0.7%</w:t>
            </w:r>
          </w:p>
        </w:tc>
        <w:tc>
          <w:tcPr>
            <w:tcW w:w="1064" w:type="dxa"/>
            <w:tcBorders>
              <w:top w:val="single" w:sz="4" w:space="0" w:color="auto"/>
            </w:tcBorders>
            <w:shd w:val="clear" w:color="auto" w:fill="F2F2F2" w:themeFill="background1" w:themeFillShade="F2"/>
            <w:vAlign w:val="top"/>
          </w:tcPr>
          <w:p w14:paraId="2C7226F9"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3.7%</w:t>
            </w:r>
          </w:p>
        </w:tc>
      </w:tr>
      <w:tr w:rsidR="001650B1" w:rsidRPr="008E3182" w14:paraId="44E9E458" w14:textId="77777777" w:rsidTr="00783F56">
        <w:tc>
          <w:tcPr>
            <w:cnfStyle w:val="001000000000" w:firstRow="0" w:lastRow="0" w:firstColumn="1" w:lastColumn="0" w:oddVBand="0" w:evenVBand="0" w:oddHBand="0" w:evenHBand="0" w:firstRowFirstColumn="0" w:firstRowLastColumn="0" w:lastRowFirstColumn="0" w:lastRowLastColumn="0"/>
            <w:tcW w:w="2126" w:type="dxa"/>
            <w:vAlign w:val="center"/>
          </w:tcPr>
          <w:p w14:paraId="72F39C06" w14:textId="77777777" w:rsidR="001650B1" w:rsidRPr="008E3182" w:rsidRDefault="001650B1" w:rsidP="00783F56">
            <w:pPr>
              <w:spacing w:after="40"/>
            </w:pPr>
            <w:r w:rsidRPr="008E3182">
              <w:t>Darba samaksa</w:t>
            </w:r>
          </w:p>
        </w:tc>
        <w:tc>
          <w:tcPr>
            <w:tcW w:w="1063" w:type="dxa"/>
            <w:vAlign w:val="top"/>
          </w:tcPr>
          <w:p w14:paraId="06B57504"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6.3%</w:t>
            </w:r>
          </w:p>
        </w:tc>
        <w:tc>
          <w:tcPr>
            <w:tcW w:w="1063" w:type="dxa"/>
            <w:vAlign w:val="top"/>
          </w:tcPr>
          <w:p w14:paraId="7A56BE0A"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5.6%</w:t>
            </w:r>
          </w:p>
        </w:tc>
        <w:tc>
          <w:tcPr>
            <w:tcW w:w="1063" w:type="dxa"/>
            <w:vAlign w:val="top"/>
          </w:tcPr>
          <w:p w14:paraId="6CC5908C"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4.7%</w:t>
            </w:r>
          </w:p>
        </w:tc>
        <w:tc>
          <w:tcPr>
            <w:tcW w:w="1063" w:type="dxa"/>
            <w:vAlign w:val="top"/>
          </w:tcPr>
          <w:p w14:paraId="72474211"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4.4%</w:t>
            </w:r>
          </w:p>
        </w:tc>
        <w:tc>
          <w:tcPr>
            <w:tcW w:w="1063" w:type="dxa"/>
            <w:vAlign w:val="top"/>
          </w:tcPr>
          <w:p w14:paraId="32BE8614"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-1.7%</w:t>
            </w:r>
          </w:p>
        </w:tc>
        <w:tc>
          <w:tcPr>
            <w:tcW w:w="1064" w:type="dxa"/>
            <w:vAlign w:val="top"/>
          </w:tcPr>
          <w:p w14:paraId="522A8980"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-1.2%</w:t>
            </w:r>
          </w:p>
        </w:tc>
      </w:tr>
      <w:tr w:rsidR="001650B1" w:rsidRPr="008E3182" w14:paraId="2DFCE426" w14:textId="77777777" w:rsidTr="00783F56">
        <w:tc>
          <w:tcPr>
            <w:cnfStyle w:val="001000000000" w:firstRow="0" w:lastRow="0" w:firstColumn="1" w:lastColumn="0" w:oddVBand="0" w:evenVBand="0" w:oddHBand="0" w:evenHBand="0" w:firstRowFirstColumn="0" w:firstRowLastColumn="0" w:lastRowFirstColumn="0" w:lastRowLastColumn="0"/>
            <w:tcW w:w="2126" w:type="dxa"/>
            <w:vAlign w:val="center"/>
          </w:tcPr>
          <w:p w14:paraId="5BE9CC93" w14:textId="77777777" w:rsidR="001650B1" w:rsidRPr="008E3182" w:rsidRDefault="001650B1" w:rsidP="00783F56">
            <w:pPr>
              <w:spacing w:after="40"/>
            </w:pPr>
            <w:r w:rsidRPr="008E3182">
              <w:t>Mašīnas un mehānismi</w:t>
            </w:r>
          </w:p>
        </w:tc>
        <w:tc>
          <w:tcPr>
            <w:tcW w:w="1063" w:type="dxa"/>
            <w:vAlign w:val="top"/>
          </w:tcPr>
          <w:p w14:paraId="3359FD9E"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3.2%</w:t>
            </w:r>
          </w:p>
        </w:tc>
        <w:tc>
          <w:tcPr>
            <w:tcW w:w="1063" w:type="dxa"/>
            <w:vAlign w:val="top"/>
          </w:tcPr>
          <w:p w14:paraId="1E63648D"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2.8%</w:t>
            </w:r>
          </w:p>
        </w:tc>
        <w:tc>
          <w:tcPr>
            <w:tcW w:w="1063" w:type="dxa"/>
            <w:vAlign w:val="top"/>
          </w:tcPr>
          <w:p w14:paraId="66153A01"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4.2%</w:t>
            </w:r>
          </w:p>
        </w:tc>
        <w:tc>
          <w:tcPr>
            <w:tcW w:w="1063" w:type="dxa"/>
            <w:vAlign w:val="top"/>
          </w:tcPr>
          <w:p w14:paraId="575F2ED3"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6.3%</w:t>
            </w:r>
          </w:p>
        </w:tc>
        <w:tc>
          <w:tcPr>
            <w:tcW w:w="1063" w:type="dxa"/>
            <w:vAlign w:val="top"/>
          </w:tcPr>
          <w:p w14:paraId="79943528"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0.9%</w:t>
            </w:r>
          </w:p>
        </w:tc>
        <w:tc>
          <w:tcPr>
            <w:tcW w:w="1064" w:type="dxa"/>
            <w:vAlign w:val="top"/>
          </w:tcPr>
          <w:p w14:paraId="45C83DEF"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3.4%</w:t>
            </w:r>
          </w:p>
        </w:tc>
      </w:tr>
      <w:tr w:rsidR="001650B1" w:rsidRPr="008E3182" w14:paraId="4892CDDC" w14:textId="77777777" w:rsidTr="00783F56">
        <w:tc>
          <w:tcPr>
            <w:cnfStyle w:val="001000000000" w:firstRow="0" w:lastRow="0" w:firstColumn="1" w:lastColumn="0" w:oddVBand="0" w:evenVBand="0" w:oddHBand="0" w:evenHBand="0" w:firstRowFirstColumn="0" w:firstRowLastColumn="0" w:lastRowFirstColumn="0" w:lastRowLastColumn="0"/>
            <w:tcW w:w="2126" w:type="dxa"/>
            <w:vAlign w:val="center"/>
          </w:tcPr>
          <w:p w14:paraId="59C955FA" w14:textId="77777777" w:rsidR="001650B1" w:rsidRPr="008E3182" w:rsidRDefault="001650B1" w:rsidP="00783F56">
            <w:pPr>
              <w:spacing w:after="40"/>
            </w:pPr>
            <w:r w:rsidRPr="008E3182">
              <w:t>Būvmateriāli</w:t>
            </w:r>
          </w:p>
        </w:tc>
        <w:tc>
          <w:tcPr>
            <w:tcW w:w="1063" w:type="dxa"/>
            <w:vAlign w:val="top"/>
          </w:tcPr>
          <w:p w14:paraId="1BF43F4C"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-0.7%</w:t>
            </w:r>
          </w:p>
        </w:tc>
        <w:tc>
          <w:tcPr>
            <w:tcW w:w="1063" w:type="dxa"/>
            <w:vAlign w:val="top"/>
          </w:tcPr>
          <w:p w14:paraId="042D1A88"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-0.4%</w:t>
            </w:r>
          </w:p>
        </w:tc>
        <w:tc>
          <w:tcPr>
            <w:tcW w:w="1063" w:type="dxa"/>
            <w:vAlign w:val="top"/>
          </w:tcPr>
          <w:p w14:paraId="515F97AA"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0.2%</w:t>
            </w:r>
          </w:p>
        </w:tc>
        <w:tc>
          <w:tcPr>
            <w:tcW w:w="1063" w:type="dxa"/>
            <w:vAlign w:val="top"/>
          </w:tcPr>
          <w:p w14:paraId="5B4A40CE"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206E21">
              <w:t>4.1%</w:t>
            </w:r>
          </w:p>
        </w:tc>
        <w:tc>
          <w:tcPr>
            <w:tcW w:w="1063" w:type="dxa"/>
            <w:vAlign w:val="top"/>
          </w:tcPr>
          <w:p w14:paraId="4AA4F5D4"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0.8%</w:t>
            </w:r>
          </w:p>
        </w:tc>
        <w:tc>
          <w:tcPr>
            <w:tcW w:w="1064" w:type="dxa"/>
            <w:vAlign w:val="top"/>
          </w:tcPr>
          <w:p w14:paraId="35779B6F" w14:textId="77777777" w:rsidR="001650B1" w:rsidRPr="008E3182" w:rsidRDefault="001650B1" w:rsidP="00783F56">
            <w:pPr>
              <w:spacing w:after="40"/>
              <w:jc w:val="center"/>
              <w:cnfStyle w:val="000000000000" w:firstRow="0" w:lastRow="0" w:firstColumn="0" w:lastColumn="0" w:oddVBand="0" w:evenVBand="0" w:oddHBand="0" w:evenHBand="0" w:firstRowFirstColumn="0" w:firstRowLastColumn="0" w:lastRowFirstColumn="0" w:lastRowLastColumn="0"/>
            </w:pPr>
            <w:r w:rsidRPr="00FE3043">
              <w:t>4.5%</w:t>
            </w:r>
          </w:p>
        </w:tc>
      </w:tr>
    </w:tbl>
    <w:p w14:paraId="42F05746" w14:textId="77777777" w:rsidR="001650B1" w:rsidRPr="0025205C" w:rsidRDefault="001650B1" w:rsidP="001650B1">
      <w:pPr>
        <w:spacing w:after="60"/>
        <w:rPr>
          <w:i/>
          <w:sz w:val="16"/>
          <w:szCs w:val="16"/>
        </w:rPr>
      </w:pPr>
      <w:r>
        <w:rPr>
          <w:i/>
          <w:sz w:val="16"/>
          <w:szCs w:val="16"/>
        </w:rPr>
        <w:t>*</w:t>
      </w:r>
      <w:r w:rsidRPr="0025205C">
        <w:rPr>
          <w:i/>
          <w:sz w:val="16"/>
          <w:szCs w:val="16"/>
        </w:rPr>
        <w:t>Vidējais rādītājs gada izmaiņai 2025. gad</w:t>
      </w:r>
      <w:r>
        <w:rPr>
          <w:i/>
          <w:sz w:val="16"/>
          <w:szCs w:val="16"/>
        </w:rPr>
        <w:t xml:space="preserve">ā </w:t>
      </w:r>
      <w:r w:rsidRPr="0025205C">
        <w:rPr>
          <w:i/>
          <w:sz w:val="16"/>
          <w:szCs w:val="16"/>
        </w:rPr>
        <w:t>pret 2024. gad</w:t>
      </w:r>
      <w:r>
        <w:rPr>
          <w:i/>
          <w:sz w:val="16"/>
          <w:szCs w:val="16"/>
        </w:rPr>
        <w:t xml:space="preserve">u </w:t>
      </w:r>
      <w:r w:rsidRPr="0025205C">
        <w:rPr>
          <w:i/>
          <w:sz w:val="16"/>
          <w:szCs w:val="16"/>
        </w:rPr>
        <w:t>un 2024. gad</w:t>
      </w:r>
      <w:r>
        <w:rPr>
          <w:i/>
          <w:sz w:val="16"/>
          <w:szCs w:val="16"/>
        </w:rPr>
        <w:t xml:space="preserve">ā </w:t>
      </w:r>
      <w:r w:rsidRPr="0025205C">
        <w:rPr>
          <w:i/>
          <w:sz w:val="16"/>
          <w:szCs w:val="16"/>
        </w:rPr>
        <w:t>pret 2023. gad</w:t>
      </w:r>
      <w:r>
        <w:rPr>
          <w:i/>
          <w:sz w:val="16"/>
          <w:szCs w:val="16"/>
        </w:rPr>
        <w:t>u</w:t>
      </w:r>
    </w:p>
    <w:p w14:paraId="1950F6EB" w14:textId="77777777" w:rsidR="001650B1" w:rsidRPr="005C4B23" w:rsidRDefault="001650B1" w:rsidP="001650B1">
      <w:pPr>
        <w:spacing w:after="60"/>
        <w:rPr>
          <w:i/>
          <w:sz w:val="16"/>
          <w:szCs w:val="16"/>
        </w:rPr>
      </w:pPr>
      <w:r w:rsidRPr="005C4B23">
        <w:rPr>
          <w:i/>
          <w:sz w:val="16"/>
          <w:szCs w:val="16"/>
        </w:rPr>
        <w:t>Avots: KPMG analīze, balstoties uz publiski pieejamiem datiem (CSP)</w:t>
      </w:r>
    </w:p>
    <w:p w14:paraId="521D4AB8" w14:textId="77777777" w:rsidR="001650B1" w:rsidRPr="00C039C8" w:rsidRDefault="001650B1" w:rsidP="001650B1">
      <w:pPr>
        <w:pStyle w:val="Virsraksts3"/>
      </w:pPr>
      <w:r>
        <w:t>No šiem datiem izriet, ka CSP transporta objektu izmaksu indekss un tā resursu komponentes 2026. gada martā vēl neuzrāda tādu ārkārtas pieaugumu, kas būtu salīdzināms ar bitumena cenu kāpumu. Tomēr 2026. gada aprīļa dati jau rāda būtiskāku novirzi no vēsturiskā līmeņa: kopējais transporta objektu indekss, mašīnu un mehānismu izmaksas un būvmateriālu komponente pieaug straujāk nekā iepriekšējo gadu attiecīgajos mēnešos. Tas nozīmē, ka aprīlī CSP datos jau sāk atspoguļoties plašāks izmaksu spiediens ārpus bitumena komponentes.</w:t>
      </w:r>
    </w:p>
    <w:p w14:paraId="621341CF" w14:textId="0E8884E9" w:rsidR="001650B1" w:rsidRPr="003E3F37" w:rsidRDefault="001650B1" w:rsidP="001650B1">
      <w:pPr>
        <w:pStyle w:val="Parakstszemobjekta"/>
        <w:spacing w:before="100" w:after="60"/>
      </w:pPr>
      <w:r w:rsidRPr="00876711">
        <w:t xml:space="preserve">Tabula </w:t>
      </w:r>
      <w:r>
        <w:t>2</w:t>
      </w:r>
      <w:r w:rsidRPr="00876711">
        <w:t xml:space="preserve">: </w:t>
      </w:r>
      <w:r w:rsidRPr="003E3F37">
        <w:t>SIA ORLEN Latvija bitumena (ceļu būvniecībai) vidējās tirdzniecības cenas</w:t>
      </w:r>
      <w:r>
        <w:t xml:space="preserve"> 2023. – 2026. gadā</w:t>
      </w:r>
    </w:p>
    <w:p w14:paraId="17D08170" w14:textId="77777777" w:rsidR="001650B1" w:rsidRDefault="001650B1" w:rsidP="001650B1">
      <w:pPr>
        <w:pStyle w:val="Pamatteksts"/>
        <w:spacing w:before="0" w:after="0"/>
      </w:pPr>
      <w:r w:rsidRPr="003E3F37">
        <w:rPr>
          <w:noProof/>
        </w:rPr>
        <w:drawing>
          <wp:inline distT="0" distB="0" distL="0" distR="0" wp14:anchorId="4FDC0665" wp14:editId="46EE2B6E">
            <wp:extent cx="4851400" cy="2388235"/>
            <wp:effectExtent l="0" t="0" r="6350" b="0"/>
            <wp:docPr id="15814138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1400" cy="2388235"/>
                    </a:xfrm>
                    <a:prstGeom prst="rect">
                      <a:avLst/>
                    </a:prstGeom>
                    <a:noFill/>
                    <a:ln>
                      <a:noFill/>
                    </a:ln>
                  </pic:spPr>
                </pic:pic>
              </a:graphicData>
            </a:graphic>
          </wp:inline>
        </w:drawing>
      </w:r>
    </w:p>
    <w:p w14:paraId="350253FF" w14:textId="77777777" w:rsidR="001650B1" w:rsidRPr="00876711" w:rsidRDefault="001650B1" w:rsidP="001650B1">
      <w:pPr>
        <w:spacing w:after="60"/>
      </w:pPr>
      <w:r w:rsidRPr="00876711">
        <w:rPr>
          <w:i/>
          <w:iCs/>
          <w:sz w:val="16"/>
          <w:szCs w:val="16"/>
        </w:rPr>
        <w:t xml:space="preserve">Avots: KPMG </w:t>
      </w:r>
      <w:r>
        <w:rPr>
          <w:i/>
          <w:iCs/>
          <w:sz w:val="16"/>
          <w:szCs w:val="16"/>
        </w:rPr>
        <w:t>apkopojums</w:t>
      </w:r>
      <w:r w:rsidRPr="00876711">
        <w:rPr>
          <w:i/>
          <w:iCs/>
          <w:sz w:val="16"/>
          <w:szCs w:val="16"/>
        </w:rPr>
        <w:t xml:space="preserve">, balstoties uz </w:t>
      </w:r>
      <w:r>
        <w:rPr>
          <w:i/>
          <w:iCs/>
          <w:sz w:val="16"/>
          <w:szCs w:val="16"/>
        </w:rPr>
        <w:t>SIA “ORLEN Latvija” sniegto informāciju</w:t>
      </w:r>
    </w:p>
    <w:p w14:paraId="355D1ADB" w14:textId="77777777" w:rsidR="001650B1" w:rsidRPr="00A6141A" w:rsidRDefault="001650B1" w:rsidP="001650B1">
      <w:pPr>
        <w:pStyle w:val="Virsraksts3"/>
      </w:pPr>
      <w:r>
        <w:t xml:space="preserve">Šī ziņojuma izpratnē bitumena bāzes cena tiek definēta kā pēdējo 12 mēnešu pirms sadārdzinājuma (2025. gada marts – 2026. gada februāris) vidēji svērtā cena, sverot pēc piegādes apjomiem. </w:t>
      </w:r>
      <w:r w:rsidRPr="00E06B00">
        <w:t xml:space="preserve">Šāda pieeja nodrošina, ka bāzes cena atspoguļo reālo tirgus cenu līmeni, nevis atsevišķu mēnešu svārstības, kurās piegādes apjomi var būt ierobežoti vai </w:t>
      </w:r>
      <w:r w:rsidRPr="00E06B00">
        <w:lastRenderedPageBreak/>
        <w:t>vispār neesoši.</w:t>
      </w:r>
      <w:r>
        <w:t xml:space="preserve"> </w:t>
      </w:r>
      <w:r w:rsidRPr="00060662">
        <w:t>Ņemot vērā bitumena piegāžu sezonālo raksturu, īsāks bāzes periods varētu radīt metodiski nestabilu rezultātu un nesamērīgi palielināt atsevišķu mēnešu ietekmi uz aprēķinu. Tādēļ 12 mēnešu vidēji svērtā bāze ir piemērotāka, lai noteiktu stabilu un reprezentatīvu salīdzinājuma līmeni ārkārtas sadārdzinājuma aprēķinam</w:t>
      </w:r>
      <w:r>
        <w:t>.</w:t>
      </w:r>
    </w:p>
    <w:p w14:paraId="709DEAFF" w14:textId="5252708D" w:rsidR="00ED3254" w:rsidRPr="008E3182" w:rsidRDefault="00ED3254" w:rsidP="00E30755">
      <w:pPr>
        <w:pStyle w:val="Virsraksts1"/>
        <w:pageBreakBefore w:val="0"/>
        <w:rPr>
          <w:lang w:eastAsia="en-GB"/>
        </w:rPr>
      </w:pPr>
      <w:r w:rsidRPr="008E3182">
        <w:t>Piedāvātais ārkārtas indeksācijas mehānisms</w:t>
      </w:r>
      <w:bookmarkEnd w:id="0"/>
    </w:p>
    <w:p w14:paraId="754D21AF" w14:textId="2770DAE5" w:rsidR="00ED3254" w:rsidRPr="008E3182" w:rsidRDefault="00ED3254" w:rsidP="00E30755">
      <w:pPr>
        <w:pStyle w:val="Virsraksts2"/>
        <w:rPr>
          <w:lang w:eastAsia="en-GB"/>
        </w:rPr>
      </w:pPr>
      <w:r w:rsidRPr="008E3182">
        <w:t>Mehānisma būtība</w:t>
      </w:r>
    </w:p>
    <w:p w14:paraId="11BC55B6" w14:textId="6627407A" w:rsidR="003E37D4" w:rsidRDefault="00ED3254" w:rsidP="00E30755">
      <w:pPr>
        <w:pStyle w:val="Virsraksts3"/>
      </w:pPr>
      <w:r w:rsidRPr="00876711">
        <w:t>Piedāvātais mehānisms ir veidots kā praktiski piemērojams vienības cenu pārrēķina modelis LVC ceļu būvdarbu līgumiem. Tas balstās uz LVC esošās vienības cenu pārrēķina metodes loģiku, bet tiek precizēts 2026. gada ārkārtas bitumena cenu šoka apstākļiem.</w:t>
      </w:r>
      <w:r w:rsidR="003E37D4">
        <w:t xml:space="preserve"> </w:t>
      </w:r>
    </w:p>
    <w:p w14:paraId="6D725B14" w14:textId="59763F6E" w:rsidR="003E37D4" w:rsidRDefault="00E30755" w:rsidP="00E30755">
      <w:pPr>
        <w:pStyle w:val="Virsraksts3"/>
      </w:pPr>
      <w:r>
        <w:t>B</w:t>
      </w:r>
      <w:r w:rsidR="003E37D4">
        <w:t>itumena komponentes ārkārtas korekcija ir piemērojama bitumenu saturošām darbu pozīcijām, ja Mažeiķu bitumena faktiskā cena pārsniedz bāzes cenu, kas koriģēta par normāli paredzamo cenu izmaiņu</w:t>
      </w:r>
      <w:r w:rsidR="00857769">
        <w:t xml:space="preserve"> (skat. Tabula 2)</w:t>
      </w:r>
      <w:r w:rsidR="003E37D4">
        <w:t>. Šī korekcija tiek aprēķināta, izmantojot LVC apstiprinātus bitumena patēriņa koeficientus un faktiski izpildīto darbu apjomus.</w:t>
      </w:r>
    </w:p>
    <w:p w14:paraId="39057A4C" w14:textId="42A09920" w:rsidR="004437B4" w:rsidRDefault="004437B4" w:rsidP="00E30755">
      <w:pPr>
        <w:pStyle w:val="Virsraksts3"/>
        <w:keepNext w:val="0"/>
      </w:pPr>
      <w:r w:rsidRPr="004437B4">
        <w:t xml:space="preserve">Ārkārtas mehānisma piemērošana jebkuram līgumam veicama kā līguma grozījums pēc individuāla izvērtējuma atbilstoši PIL 61. pantam. Grozījumu piemērošanai katrā konkrētajā līgumā jāvērtē </w:t>
      </w:r>
      <w:proofErr w:type="spellStart"/>
      <w:r w:rsidRPr="004437B4">
        <w:t>neparedzamība</w:t>
      </w:r>
      <w:proofErr w:type="spellEnd"/>
      <w:r w:rsidRPr="004437B4">
        <w:t>, cēloniskā saikne, samērīgums, līguma vispārējā rakstura nemainīšana, finansiālo robežu ievērošana un dubultas kompensācijas nepieļaušana.</w:t>
      </w:r>
    </w:p>
    <w:p w14:paraId="1D817047" w14:textId="337F0F9D" w:rsidR="006A086C" w:rsidRDefault="00ED3254" w:rsidP="00E30755">
      <w:pPr>
        <w:pStyle w:val="Virsraksts3"/>
        <w:keepNext w:val="0"/>
      </w:pPr>
      <w:r w:rsidRPr="008E3182">
        <w:t>Mehānisms piemērojams gan cenu pieauguma, gan cenu samazinājuma gadījumā.</w:t>
      </w:r>
    </w:p>
    <w:p w14:paraId="11DE74A5" w14:textId="76EDC53B" w:rsidR="00ED3254" w:rsidRPr="008E3182" w:rsidRDefault="00ED3254" w:rsidP="00E30755">
      <w:pPr>
        <w:pStyle w:val="Virsraksts2"/>
        <w:keepNext w:val="0"/>
        <w:rPr>
          <w:lang w:eastAsia="en-GB"/>
        </w:rPr>
      </w:pPr>
      <w:r w:rsidRPr="008E3182">
        <w:t>Piemērošanas secība</w:t>
      </w:r>
    </w:p>
    <w:p w14:paraId="1E2D867B" w14:textId="77777777" w:rsidR="00ED3254" w:rsidRPr="008E3182" w:rsidRDefault="00ED3254" w:rsidP="006A086C">
      <w:r w:rsidRPr="008E3182">
        <w:t>Praktiskai piemērošanai mehānisms izmantojams šādā secībā.</w:t>
      </w:r>
    </w:p>
    <w:p w14:paraId="5ECBC17A" w14:textId="4CA5C011" w:rsidR="008E67FC" w:rsidRPr="008E3182" w:rsidRDefault="008E67FC" w:rsidP="006A086C">
      <w:pPr>
        <w:pStyle w:val="Parakstszemobjekta"/>
        <w:keepNext w:val="0"/>
        <w:spacing w:before="100" w:after="60"/>
      </w:pPr>
      <w:r>
        <w:t xml:space="preserve">Tabula </w:t>
      </w:r>
      <w:r w:rsidR="00A807E0">
        <w:t>3</w:t>
      </w:r>
      <w:r>
        <w:t>: Indeksācijas piemērošanas secība</w:t>
      </w:r>
    </w:p>
    <w:tbl>
      <w:tblPr>
        <w:tblStyle w:val="KPMGFinancialTable"/>
        <w:tblW w:w="0" w:type="auto"/>
        <w:tblLook w:val="04A0" w:firstRow="1" w:lastRow="0" w:firstColumn="1" w:lastColumn="0" w:noHBand="0" w:noVBand="1"/>
      </w:tblPr>
      <w:tblGrid>
        <w:gridCol w:w="851"/>
        <w:gridCol w:w="7654"/>
      </w:tblGrid>
      <w:tr w:rsidR="006417C1" w:rsidRPr="008E3182" w14:paraId="472125E0" w14:textId="77777777" w:rsidTr="006417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center"/>
          </w:tcPr>
          <w:p w14:paraId="5FBD2678" w14:textId="15810941" w:rsidR="006417C1" w:rsidRPr="008E3182" w:rsidRDefault="006417C1" w:rsidP="006A086C">
            <w:r w:rsidRPr="008E3182">
              <w:t>Solis</w:t>
            </w:r>
          </w:p>
        </w:tc>
        <w:tc>
          <w:tcPr>
            <w:tcW w:w="7654" w:type="dxa"/>
            <w:vAlign w:val="center"/>
          </w:tcPr>
          <w:p w14:paraId="7679BC4E" w14:textId="124CC3F4" w:rsidR="006417C1" w:rsidRPr="008E3182" w:rsidRDefault="006417C1" w:rsidP="006A086C">
            <w:pPr>
              <w:cnfStyle w:val="100000000000" w:firstRow="1" w:lastRow="0" w:firstColumn="0" w:lastColumn="0" w:oddVBand="0" w:evenVBand="0" w:oddHBand="0" w:evenHBand="0" w:firstRowFirstColumn="0" w:firstRowLastColumn="0" w:lastRowFirstColumn="0" w:lastRowLastColumn="0"/>
            </w:pPr>
            <w:r w:rsidRPr="008E3182">
              <w:t>Darbība</w:t>
            </w:r>
          </w:p>
        </w:tc>
      </w:tr>
      <w:tr w:rsidR="006417C1" w:rsidRPr="008E3182" w14:paraId="1B54101B"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5DB6E7D4" w14:textId="558A05B4" w:rsidR="006417C1" w:rsidRPr="008E3182" w:rsidRDefault="006417C1" w:rsidP="006A086C">
            <w:pPr>
              <w:spacing w:after="40"/>
            </w:pPr>
            <w:r w:rsidRPr="008E3182">
              <w:t>1</w:t>
            </w:r>
          </w:p>
        </w:tc>
        <w:tc>
          <w:tcPr>
            <w:tcW w:w="7654" w:type="dxa"/>
            <w:vAlign w:val="top"/>
          </w:tcPr>
          <w:p w14:paraId="4CE8879B" w14:textId="21683855" w:rsidR="006417C1" w:rsidRPr="008E3182" w:rsidRDefault="0073612E" w:rsidP="006A086C">
            <w:pPr>
              <w:spacing w:after="40"/>
              <w:cnfStyle w:val="000000000000" w:firstRow="0" w:lastRow="0" w:firstColumn="0" w:lastColumn="0" w:oddVBand="0" w:evenVBand="0" w:oddHBand="0" w:evenHBand="0" w:firstRowFirstColumn="0" w:firstRowLastColumn="0" w:lastRowFirstColumn="0" w:lastRowLastColumn="0"/>
            </w:pPr>
            <w:r w:rsidRPr="0073612E">
              <w:t>Identificē konkrētā līguma noteikumus, piemērojamo grozījumu pamatu un nepieciešamību veikt PIL 61. panta izvērtējumu</w:t>
            </w:r>
            <w:r>
              <w:t>.</w:t>
            </w:r>
          </w:p>
        </w:tc>
      </w:tr>
      <w:tr w:rsidR="006417C1" w:rsidRPr="008E3182" w14:paraId="54E30100"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02FA9ECC" w14:textId="10A1C5FE" w:rsidR="006417C1" w:rsidRPr="008E3182" w:rsidRDefault="006417C1" w:rsidP="006A086C">
            <w:pPr>
              <w:spacing w:after="40"/>
            </w:pPr>
            <w:r w:rsidRPr="008E3182">
              <w:t>2</w:t>
            </w:r>
          </w:p>
        </w:tc>
        <w:tc>
          <w:tcPr>
            <w:tcW w:w="7654" w:type="dxa"/>
            <w:vAlign w:val="top"/>
          </w:tcPr>
          <w:p w14:paraId="63AABA6B" w14:textId="2D108BF8" w:rsidR="006417C1" w:rsidRPr="008E3182"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Nosaka, vai konkrētajā līgumā piemērojama bitumena ārkārtas korekcija.</w:t>
            </w:r>
          </w:p>
        </w:tc>
      </w:tr>
      <w:tr w:rsidR="006417C1" w:rsidRPr="008E3182" w14:paraId="64C48EC2"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23AA45FA" w14:textId="5C0DC17C" w:rsidR="006417C1" w:rsidRPr="008E3182" w:rsidRDefault="006417C1" w:rsidP="006A086C">
            <w:pPr>
              <w:spacing w:after="40"/>
            </w:pPr>
            <w:r w:rsidRPr="008E3182">
              <w:t>3</w:t>
            </w:r>
          </w:p>
        </w:tc>
        <w:tc>
          <w:tcPr>
            <w:tcW w:w="7654" w:type="dxa"/>
            <w:vAlign w:val="top"/>
          </w:tcPr>
          <w:p w14:paraId="564B4DA7" w14:textId="367DFB97" w:rsidR="006417C1" w:rsidRPr="008E3182"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Identificē darbu pozīcijas, kurām ir būtiska bitumena komponente.</w:t>
            </w:r>
          </w:p>
        </w:tc>
      </w:tr>
      <w:tr w:rsidR="006417C1" w:rsidRPr="008E3182" w14:paraId="62B17882"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63A585C3" w14:textId="6CCF6D5E" w:rsidR="006417C1" w:rsidRPr="008E3182" w:rsidRDefault="006417C1" w:rsidP="006A086C">
            <w:pPr>
              <w:spacing w:after="40"/>
            </w:pPr>
            <w:r w:rsidRPr="008E3182">
              <w:t>4</w:t>
            </w:r>
          </w:p>
        </w:tc>
        <w:tc>
          <w:tcPr>
            <w:tcW w:w="7654" w:type="dxa"/>
            <w:vAlign w:val="top"/>
          </w:tcPr>
          <w:p w14:paraId="60096926" w14:textId="4CBE938F" w:rsidR="006417C1" w:rsidRPr="008E3182" w:rsidRDefault="006417C1" w:rsidP="006A086C">
            <w:pPr>
              <w:spacing w:after="40"/>
              <w:cnfStyle w:val="000000000000" w:firstRow="0" w:lastRow="0" w:firstColumn="0" w:lastColumn="0" w:oddVBand="0" w:evenVBand="0" w:oddHBand="0" w:evenHBand="0" w:firstRowFirstColumn="0" w:firstRowLastColumn="0" w:lastRowFirstColumn="0" w:lastRowLastColumn="0"/>
            </w:pPr>
            <w:r w:rsidRPr="008E3182">
              <w:t xml:space="preserve">Nosaka bitumena </w:t>
            </w:r>
            <w:r w:rsidR="003E37D4" w:rsidRPr="00B66A6D">
              <w:t xml:space="preserve">bāzes </w:t>
            </w:r>
            <w:r w:rsidRPr="008E3182">
              <w:t>cenu</w:t>
            </w:r>
            <w:r w:rsidR="003E37D4" w:rsidRPr="00B66A6D">
              <w:t>.</w:t>
            </w:r>
          </w:p>
        </w:tc>
      </w:tr>
      <w:tr w:rsidR="006417C1" w:rsidRPr="008E3182" w14:paraId="380BEF84"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4D68FCCD" w14:textId="1F1EB4CF" w:rsidR="006417C1" w:rsidRPr="008E3182" w:rsidRDefault="006417C1" w:rsidP="006A086C">
            <w:pPr>
              <w:spacing w:after="40"/>
            </w:pPr>
            <w:r w:rsidRPr="008E3182">
              <w:t>5</w:t>
            </w:r>
          </w:p>
        </w:tc>
        <w:tc>
          <w:tcPr>
            <w:tcW w:w="7654" w:type="dxa"/>
            <w:vAlign w:val="top"/>
          </w:tcPr>
          <w:p w14:paraId="4FB71BB0" w14:textId="2DA4D4D1" w:rsidR="006417C1" w:rsidRPr="008E3182"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Nosaka faktiskā mēneša Mažeiķu bitumena cenu.</w:t>
            </w:r>
          </w:p>
        </w:tc>
      </w:tr>
      <w:tr w:rsidR="006417C1" w:rsidRPr="008E3182" w14:paraId="690FB8BA"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3CF05C11" w14:textId="490CA598" w:rsidR="006417C1" w:rsidRPr="008E3182" w:rsidRDefault="006417C1" w:rsidP="006A086C">
            <w:pPr>
              <w:spacing w:after="40"/>
            </w:pPr>
            <w:r w:rsidRPr="008E3182">
              <w:t>6</w:t>
            </w:r>
          </w:p>
        </w:tc>
        <w:tc>
          <w:tcPr>
            <w:tcW w:w="7654" w:type="dxa"/>
            <w:vAlign w:val="top"/>
          </w:tcPr>
          <w:p w14:paraId="6C08CC18" w14:textId="3844A961" w:rsidR="006417C1" w:rsidRPr="008E3182"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Nosaka normāli paredzamo bitumena cenu izmaiņu.</w:t>
            </w:r>
          </w:p>
        </w:tc>
      </w:tr>
      <w:tr w:rsidR="006417C1" w:rsidRPr="008E3182" w14:paraId="3AA055CE"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1B2E9588" w14:textId="65F0D36C" w:rsidR="006417C1" w:rsidRPr="008E3182" w:rsidRDefault="006417C1" w:rsidP="006A086C">
            <w:pPr>
              <w:spacing w:after="40"/>
            </w:pPr>
            <w:r w:rsidRPr="008E3182">
              <w:t>7</w:t>
            </w:r>
          </w:p>
        </w:tc>
        <w:tc>
          <w:tcPr>
            <w:tcW w:w="7654" w:type="dxa"/>
            <w:vAlign w:val="top"/>
          </w:tcPr>
          <w:p w14:paraId="652B53B4" w14:textId="7B316F9F" w:rsidR="006417C1" w:rsidRPr="008E3182"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Aprēķina kompensējamo bitumena ārkārtas daļu.</w:t>
            </w:r>
          </w:p>
        </w:tc>
      </w:tr>
      <w:tr w:rsidR="003E37D4" w:rsidRPr="00876711" w14:paraId="7C6AE969"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694800AA" w14:textId="50B09615" w:rsidR="003E37D4" w:rsidRPr="00876711" w:rsidRDefault="00E30755" w:rsidP="006A086C">
            <w:pPr>
              <w:spacing w:after="40"/>
            </w:pPr>
            <w:r>
              <w:lastRenderedPageBreak/>
              <w:t>8</w:t>
            </w:r>
          </w:p>
        </w:tc>
        <w:tc>
          <w:tcPr>
            <w:tcW w:w="7654" w:type="dxa"/>
            <w:vAlign w:val="top"/>
          </w:tcPr>
          <w:p w14:paraId="0A4E644F" w14:textId="025E39BF" w:rsidR="003E37D4" w:rsidRPr="00876711"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Veic PIL 61. panta individuālo izvērtējumu konkrētajam līgumam.</w:t>
            </w:r>
            <w:r w:rsidR="0073612E">
              <w:t xml:space="preserve"> </w:t>
            </w:r>
            <w:r w:rsidR="0073612E" w:rsidRPr="0073612E">
              <w:t>Skat. 4. nodaļu par PIL 61. panta piemērošanas juridisko pamatojumu.</w:t>
            </w:r>
          </w:p>
        </w:tc>
      </w:tr>
      <w:tr w:rsidR="006417C1" w:rsidRPr="008E3182" w14:paraId="5D864AFA" w14:textId="77777777" w:rsidTr="000E4ACA">
        <w:tc>
          <w:tcPr>
            <w:cnfStyle w:val="001000000000" w:firstRow="0" w:lastRow="0" w:firstColumn="1" w:lastColumn="0" w:oddVBand="0" w:evenVBand="0" w:oddHBand="0" w:evenHBand="0" w:firstRowFirstColumn="0" w:firstRowLastColumn="0" w:lastRowFirstColumn="0" w:lastRowLastColumn="0"/>
            <w:tcW w:w="851" w:type="dxa"/>
            <w:vAlign w:val="center"/>
          </w:tcPr>
          <w:p w14:paraId="517B2E57" w14:textId="0B8DFF4F" w:rsidR="006417C1" w:rsidRPr="008E3182" w:rsidRDefault="00E30755" w:rsidP="006A086C">
            <w:pPr>
              <w:spacing w:after="40"/>
            </w:pPr>
            <w:r>
              <w:t>9</w:t>
            </w:r>
          </w:p>
        </w:tc>
        <w:tc>
          <w:tcPr>
            <w:tcW w:w="7654" w:type="dxa"/>
            <w:vAlign w:val="top"/>
          </w:tcPr>
          <w:p w14:paraId="7DAD9B17" w14:textId="5BA828D3" w:rsidR="006417C1" w:rsidRPr="008E3182" w:rsidRDefault="003E37D4" w:rsidP="006A086C">
            <w:pPr>
              <w:spacing w:after="40"/>
              <w:cnfStyle w:val="000000000000" w:firstRow="0" w:lastRow="0" w:firstColumn="0" w:lastColumn="0" w:oddVBand="0" w:evenVBand="0" w:oddHBand="0" w:evenHBand="0" w:firstRowFirstColumn="0" w:firstRowLastColumn="0" w:lastRowFirstColumn="0" w:lastRowLastColumn="0"/>
            </w:pPr>
            <w:r w:rsidRPr="00B66A6D">
              <w:t>Piemēro korekciju tikai faktiski izpildītajiem un LVC pieņemtajiem darbu apjomiem.</w:t>
            </w:r>
          </w:p>
        </w:tc>
      </w:tr>
    </w:tbl>
    <w:p w14:paraId="315E0365" w14:textId="77777777" w:rsidR="00AF2AFC" w:rsidRPr="00AF2AFC" w:rsidRDefault="00AF2AFC" w:rsidP="006A086C">
      <w:pPr>
        <w:spacing w:after="60"/>
        <w:rPr>
          <w:i/>
          <w:iCs/>
          <w:sz w:val="16"/>
          <w:szCs w:val="16"/>
        </w:rPr>
      </w:pPr>
      <w:r w:rsidRPr="00AF2AFC">
        <w:rPr>
          <w:i/>
          <w:iCs/>
          <w:sz w:val="16"/>
          <w:szCs w:val="16"/>
        </w:rPr>
        <w:t>Avots: KPMG apkopojums, balstoties uz veikto analīzi</w:t>
      </w:r>
    </w:p>
    <w:p w14:paraId="29298962" w14:textId="2FA5D50B" w:rsidR="00ED3254" w:rsidRPr="008E3182" w:rsidRDefault="00ED3254" w:rsidP="006A086C">
      <w:pPr>
        <w:pStyle w:val="Virsraksts3"/>
        <w:keepNext w:val="0"/>
      </w:pPr>
      <w:r w:rsidRPr="008E3182">
        <w:t>Šāda secība nodrošina, ka pārrēķins tiek veikts pa konkrētām darbu pozīcijām, nevis kā vispārējs līgumcenas palielinājums.</w:t>
      </w:r>
    </w:p>
    <w:p w14:paraId="398838B6" w14:textId="0D60E9BC" w:rsidR="00ED3254" w:rsidRDefault="00ED3254" w:rsidP="006A086C">
      <w:pPr>
        <w:pStyle w:val="Virsraksts2"/>
        <w:keepNext w:val="0"/>
      </w:pPr>
      <w:r w:rsidRPr="008E3182">
        <w:t>Izmantotie mainīgie</w:t>
      </w:r>
    </w:p>
    <w:p w14:paraId="3671C79B" w14:textId="7BED88F1" w:rsidR="00C07FC6" w:rsidRPr="00C07FC6" w:rsidRDefault="00C07FC6" w:rsidP="006A086C">
      <w:pPr>
        <w:pStyle w:val="Virsraksts3"/>
        <w:keepNext w:val="0"/>
      </w:pPr>
      <w:r>
        <w:t>Indeksācijas aprēķinā izmantotos mainīgos un to skaidrojumus skatīt tabulā zemāk.</w:t>
      </w:r>
    </w:p>
    <w:p w14:paraId="7DDCFAED" w14:textId="08259CAD" w:rsidR="008E67FC" w:rsidRPr="008E3182" w:rsidRDefault="008E67FC" w:rsidP="006A086C">
      <w:pPr>
        <w:pStyle w:val="Parakstszemobjekta"/>
        <w:keepNext w:val="0"/>
        <w:spacing w:before="100" w:after="60"/>
      </w:pPr>
      <w:r>
        <w:t xml:space="preserve">Tabula </w:t>
      </w:r>
      <w:r w:rsidR="00A807E0">
        <w:t>4</w:t>
      </w:r>
      <w:r>
        <w:t>: Indeksācijas aprēķinā izmantotie mainīgie</w:t>
      </w:r>
    </w:p>
    <w:tbl>
      <w:tblPr>
        <w:tblStyle w:val="KPMGFinancialTable"/>
        <w:tblW w:w="0" w:type="auto"/>
        <w:tblLook w:val="04A0" w:firstRow="1" w:lastRow="0" w:firstColumn="1" w:lastColumn="0" w:noHBand="0" w:noVBand="1"/>
      </w:tblPr>
      <w:tblGrid>
        <w:gridCol w:w="1560"/>
        <w:gridCol w:w="6945"/>
      </w:tblGrid>
      <w:tr w:rsidR="0073612E" w:rsidRPr="008E3182" w14:paraId="60BBA3E0" w14:textId="77777777" w:rsidTr="00CA57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3ED188B" w14:textId="77777777" w:rsidR="0073612E" w:rsidRPr="008E3182" w:rsidRDefault="0073612E" w:rsidP="006A086C">
            <w:r w:rsidRPr="008E3182">
              <w:t>Apzīmējums</w:t>
            </w:r>
          </w:p>
        </w:tc>
        <w:tc>
          <w:tcPr>
            <w:tcW w:w="6945" w:type="dxa"/>
            <w:vAlign w:val="center"/>
          </w:tcPr>
          <w:p w14:paraId="19D37852" w14:textId="77777777" w:rsidR="0073612E" w:rsidRPr="008E3182" w:rsidRDefault="0073612E" w:rsidP="006A086C">
            <w:pPr>
              <w:cnfStyle w:val="100000000000" w:firstRow="1" w:lastRow="0" w:firstColumn="0" w:lastColumn="0" w:oddVBand="0" w:evenVBand="0" w:oddHBand="0" w:evenHBand="0" w:firstRowFirstColumn="0" w:firstRowLastColumn="0" w:lastRowFirstColumn="0" w:lastRowLastColumn="0"/>
            </w:pPr>
            <w:r w:rsidRPr="008E3182">
              <w:t>Nozīme</w:t>
            </w:r>
          </w:p>
        </w:tc>
      </w:tr>
      <w:tr w:rsidR="0073612E" w:rsidRPr="008E3182" w14:paraId="5CB46962"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4583C67" w14:textId="77777777" w:rsidR="0073612E" w:rsidRPr="00E30755" w:rsidRDefault="00000000" w:rsidP="004473CF">
            <w:pPr>
              <w:spacing w:beforeLines="40" w:before="96" w:afterLines="40" w:after="96" w:line="264" w:lineRule="auto"/>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bitumens</m:t>
                    </m:r>
                  </m:sub>
                </m:sSub>
              </m:oMath>
            </m:oMathPara>
          </w:p>
        </w:tc>
        <w:tc>
          <w:tcPr>
            <w:tcW w:w="6945" w:type="dxa"/>
            <w:vAlign w:val="center"/>
          </w:tcPr>
          <w:p w14:paraId="28122F7C"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bitumena komponentes korekcija uz vienu darbu pozīcijas mērvienību</w:t>
            </w:r>
          </w:p>
        </w:tc>
      </w:tr>
      <w:tr w:rsidR="0073612E" w:rsidRPr="008E3182" w14:paraId="0A69B4FC"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E61945C" w14:textId="77777777" w:rsidR="0073612E" w:rsidRPr="00E30755" w:rsidRDefault="00000000" w:rsidP="004473CF">
            <w:pPr>
              <w:spacing w:beforeLines="40" w:before="96" w:afterLines="40" w:after="96" w:line="264" w:lineRule="auto"/>
            </w:pPr>
            <m:oMathPara>
              <m:oMathParaPr>
                <m:jc m:val="left"/>
              </m:oMathParaPr>
              <m:oMath>
                <m:sSub>
                  <m:sSubPr>
                    <m:ctrlPr>
                      <w:rPr>
                        <w:rFonts w:ascii="Cambria Math" w:eastAsia="Times New Roman" w:hAnsi="Cambria Math" w:cs="Times New Roman"/>
                        <w:i/>
                        <w:iCs/>
                        <w:sz w:val="22"/>
                        <w:lang w:eastAsia="en-AU"/>
                      </w:rPr>
                    </m:ctrlPr>
                  </m:sSubPr>
                  <m:e>
                    <m:r>
                      <w:rPr>
                        <w:rFonts w:ascii="Cambria Math"/>
                      </w:rPr>
                      <m:t>P</m:t>
                    </m:r>
                  </m:e>
                  <m:sub>
                    <m:r>
                      <w:rPr>
                        <w:rFonts w:ascii="Cambria Math"/>
                      </w:rPr>
                      <m:t>0</m:t>
                    </m:r>
                  </m:sub>
                </m:sSub>
              </m:oMath>
            </m:oMathPara>
          </w:p>
        </w:tc>
        <w:tc>
          <w:tcPr>
            <w:tcW w:w="6945" w:type="dxa"/>
            <w:vAlign w:val="center"/>
          </w:tcPr>
          <w:p w14:paraId="308571C1"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bāzes cena - Mažeiķu bitumena vidēji svērtā cena pēdējos 12 mēnešos pirms sadārdzinājuma (2025. gada marts – 2026. gada februāris), EUR/t</w:t>
            </w:r>
          </w:p>
        </w:tc>
      </w:tr>
      <w:tr w:rsidR="0073612E" w:rsidRPr="008E3182" w14:paraId="5EEBA942"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450E00C" w14:textId="77777777" w:rsidR="0073612E" w:rsidRPr="00E30755" w:rsidRDefault="00000000" w:rsidP="004473CF">
            <w:pPr>
              <w:spacing w:beforeLines="40" w:before="96" w:afterLines="40" w:after="96" w:line="264" w:lineRule="auto"/>
            </w:pPr>
            <m:oMathPara>
              <m:oMathParaPr>
                <m:jc m:val="left"/>
              </m:oMathParaPr>
              <m:oMath>
                <m:sSub>
                  <m:sSubPr>
                    <m:ctrlPr>
                      <w:rPr>
                        <w:rFonts w:ascii="Cambria Math" w:eastAsia="Times New Roman" w:hAnsi="Cambria Math" w:cs="Times New Roman"/>
                        <w:i/>
                        <w:iCs/>
                        <w:sz w:val="22"/>
                        <w:lang w:eastAsia="en-AU"/>
                      </w:rPr>
                    </m:ctrlPr>
                  </m:sSubPr>
                  <m:e>
                    <m:r>
                      <w:rPr>
                        <w:rFonts w:ascii="Cambria Math"/>
                      </w:rPr>
                      <m:t>P</m:t>
                    </m:r>
                  </m:e>
                  <m:sub>
                    <m:r>
                      <w:rPr>
                        <w:rFonts w:ascii="Cambria Math"/>
                      </w:rPr>
                      <m:t>1</m:t>
                    </m:r>
                  </m:sub>
                </m:sSub>
              </m:oMath>
            </m:oMathPara>
          </w:p>
        </w:tc>
        <w:tc>
          <w:tcPr>
            <w:tcW w:w="6945" w:type="dxa"/>
            <w:vAlign w:val="center"/>
          </w:tcPr>
          <w:p w14:paraId="7DAFDE2F"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Mažeiķu bitumena faktiskā cena darbu izpildes mēnesī, EUR/t</w:t>
            </w:r>
          </w:p>
        </w:tc>
      </w:tr>
      <w:tr w:rsidR="0073612E" w:rsidRPr="008E3182" w14:paraId="63E6A44A"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1C9304E" w14:textId="77777777" w:rsidR="0073612E" w:rsidRPr="00E30755" w:rsidRDefault="0073612E" w:rsidP="004473CF">
            <w:pPr>
              <w:spacing w:beforeLines="40" w:before="96" w:afterLines="40" w:after="96" w:line="264" w:lineRule="auto"/>
              <w:rPr>
                <w:rFonts w:ascii="Arial" w:hAnsi="Arial"/>
              </w:rPr>
            </w:pPr>
            <w:r w:rsidRPr="00E30755">
              <w:t>B</w:t>
            </w:r>
            <w:r w:rsidRPr="00E30755">
              <w:rPr>
                <w:rFonts w:ascii="Cambria Math" w:hAnsi="Cambria Math" w:cs="Cambria Math"/>
              </w:rPr>
              <w:t>₀</w:t>
            </w:r>
          </w:p>
        </w:tc>
        <w:tc>
          <w:tcPr>
            <w:tcW w:w="6945" w:type="dxa"/>
            <w:vAlign w:val="top"/>
          </w:tcPr>
          <w:p w14:paraId="6E4EE651"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s</w:t>
            </w:r>
            <w:r w:rsidRPr="00E30755">
              <w:rPr>
                <w:rFonts w:ascii="Arial" w:hAnsi="Arial" w:cs="Arial"/>
              </w:rPr>
              <w:t>ā</w:t>
            </w:r>
            <w:r w:rsidRPr="00E30755">
              <w:t>kotn</w:t>
            </w:r>
            <w:r w:rsidRPr="00E30755">
              <w:rPr>
                <w:rFonts w:ascii="Arial" w:hAnsi="Arial" w:cs="Arial"/>
              </w:rPr>
              <w:t>ē</w:t>
            </w:r>
            <w:r w:rsidRPr="00E30755">
              <w:t>j</w:t>
            </w:r>
            <w:r w:rsidRPr="00E30755">
              <w:rPr>
                <w:rFonts w:ascii="Arial" w:hAnsi="Arial" w:cs="Arial"/>
              </w:rPr>
              <w:t>ā</w:t>
            </w:r>
            <w:r w:rsidRPr="00E30755">
              <w:t xml:space="preserve"> bitumena komponente vien</w:t>
            </w:r>
            <w:r w:rsidRPr="00E30755">
              <w:rPr>
                <w:rFonts w:ascii="Arial" w:hAnsi="Arial" w:cs="Arial"/>
              </w:rPr>
              <w:t>ī</w:t>
            </w:r>
            <w:r w:rsidRPr="00E30755">
              <w:t>bas cen</w:t>
            </w:r>
            <w:r w:rsidRPr="00E30755">
              <w:rPr>
                <w:rFonts w:ascii="Arial" w:hAnsi="Arial" w:cs="Arial"/>
              </w:rPr>
              <w:t>ā</w:t>
            </w:r>
          </w:p>
        </w:tc>
      </w:tr>
      <w:tr w:rsidR="0073612E" w:rsidRPr="008E3182" w14:paraId="1B5E218C"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22399642" w14:textId="77777777" w:rsidR="0073612E" w:rsidRPr="00E30755" w:rsidRDefault="0073612E" w:rsidP="004473CF">
            <w:pPr>
              <w:spacing w:beforeLines="40" w:before="96" w:afterLines="40" w:after="96" w:line="264" w:lineRule="auto"/>
              <w:rPr>
                <w:rFonts w:ascii="Arial" w:hAnsi="Arial"/>
              </w:rPr>
            </w:pPr>
            <w:r w:rsidRPr="00E30755">
              <w:t>C</w:t>
            </w:r>
            <w:r w:rsidRPr="00E30755">
              <w:rPr>
                <w:rFonts w:ascii="Cambria Math" w:hAnsi="Cambria Math" w:cs="Cambria Math"/>
              </w:rPr>
              <w:t>₀</w:t>
            </w:r>
          </w:p>
        </w:tc>
        <w:tc>
          <w:tcPr>
            <w:tcW w:w="6945" w:type="dxa"/>
            <w:vAlign w:val="top"/>
          </w:tcPr>
          <w:p w14:paraId="1646209F"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s</w:t>
            </w:r>
            <w:r w:rsidRPr="00E30755">
              <w:rPr>
                <w:rFonts w:ascii="Arial" w:hAnsi="Arial" w:cs="Arial"/>
              </w:rPr>
              <w:t>ā</w:t>
            </w:r>
            <w:r w:rsidRPr="00E30755">
              <w:t>kotn</w:t>
            </w:r>
            <w:r w:rsidRPr="00E30755">
              <w:rPr>
                <w:rFonts w:ascii="Arial" w:hAnsi="Arial" w:cs="Arial"/>
              </w:rPr>
              <w:t>ē</w:t>
            </w:r>
            <w:r w:rsidRPr="00E30755">
              <w:t>j</w:t>
            </w:r>
            <w:r w:rsidRPr="00E30755">
              <w:rPr>
                <w:rFonts w:ascii="Arial" w:hAnsi="Arial" w:cs="Arial"/>
              </w:rPr>
              <w:t>ā</w:t>
            </w:r>
            <w:r w:rsidRPr="00E30755">
              <w:t xml:space="preserve"> vien</w:t>
            </w:r>
            <w:r w:rsidRPr="00E30755">
              <w:rPr>
                <w:rFonts w:ascii="Arial" w:hAnsi="Arial" w:cs="Arial"/>
              </w:rPr>
              <w:t>ī</w:t>
            </w:r>
            <w:r w:rsidRPr="00E30755">
              <w:t>bas cena</w:t>
            </w:r>
          </w:p>
        </w:tc>
      </w:tr>
      <w:tr w:rsidR="0073612E" w:rsidRPr="008E3182" w14:paraId="02B6DA37"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7EAD9D2" w14:textId="77777777" w:rsidR="0073612E" w:rsidRPr="00E30755" w:rsidRDefault="0073612E" w:rsidP="004473CF">
            <w:pPr>
              <w:spacing w:beforeLines="40" w:before="96" w:afterLines="40" w:after="96" w:line="264" w:lineRule="auto"/>
              <w:rPr>
                <w:rFonts w:ascii="Arial" w:hAnsi="Arial"/>
              </w:rPr>
            </w:pPr>
            <w:r w:rsidRPr="00E30755">
              <w:t>S</w:t>
            </w:r>
            <w:r w:rsidRPr="00E30755">
              <w:rPr>
                <w:vertAlign w:val="subscript"/>
              </w:rPr>
              <w:t>kopā</w:t>
            </w:r>
          </w:p>
        </w:tc>
        <w:tc>
          <w:tcPr>
            <w:tcW w:w="6945" w:type="dxa"/>
            <w:vAlign w:val="top"/>
          </w:tcPr>
          <w:p w14:paraId="07B3404F"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kopējā korekcijas summa, ja tiek summēti vairāki mēneši vai vairākas darbu pozīcijas</w:t>
            </w:r>
          </w:p>
        </w:tc>
      </w:tr>
      <w:tr w:rsidR="0073612E" w:rsidRPr="008E3182" w14:paraId="312F25F2"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04EDF9B4" w14:textId="77777777" w:rsidR="0073612E" w:rsidRPr="00E30755" w:rsidRDefault="0073612E" w:rsidP="004473CF">
            <w:pPr>
              <w:spacing w:beforeLines="40" w:before="96" w:afterLines="40" w:after="96" w:line="264" w:lineRule="auto"/>
            </w:pPr>
            <m:oMathPara>
              <m:oMathParaPr>
                <m:jc m:val="left"/>
              </m:oMathParaPr>
              <m:oMath>
                <m:r>
                  <w:rPr>
                    <w:rFonts w:ascii="Cambria Math" w:hAnsi="Cambria Math"/>
                  </w:rPr>
                  <m:t>B</m:t>
                </m:r>
              </m:oMath>
            </m:oMathPara>
          </w:p>
        </w:tc>
        <w:tc>
          <w:tcPr>
            <w:tcW w:w="6945" w:type="dxa"/>
            <w:vAlign w:val="center"/>
          </w:tcPr>
          <w:p w14:paraId="38911714"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LVC apstiprināts bitumena patēriņa koeficients konkrētajai darbu pozīcijai</w:t>
            </w:r>
          </w:p>
        </w:tc>
      </w:tr>
      <w:tr w:rsidR="0073612E" w:rsidRPr="008E3182" w14:paraId="73B821CD"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8CF79EB" w14:textId="77777777" w:rsidR="0073612E" w:rsidRPr="00E30755" w:rsidRDefault="0073612E" w:rsidP="004473CF">
            <w:pPr>
              <w:spacing w:beforeLines="40" w:before="96" w:afterLines="40" w:after="96" w:line="264" w:lineRule="auto"/>
            </w:pPr>
            <m:oMathPara>
              <m:oMathParaPr>
                <m:jc m:val="left"/>
              </m:oMathParaPr>
              <m:oMath>
                <m:r>
                  <w:rPr>
                    <w:rFonts w:ascii="Cambria Math" w:hAnsi="Cambria Math"/>
                  </w:rPr>
                  <m:t>E</m:t>
                </m:r>
              </m:oMath>
            </m:oMathPara>
          </w:p>
        </w:tc>
        <w:tc>
          <w:tcPr>
            <w:tcW w:w="6945" w:type="dxa"/>
            <w:vAlign w:val="center"/>
          </w:tcPr>
          <w:p w14:paraId="4A8537BD"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normāli paredzamā jeb praktiski sagaidāmā bitumena cenas izmaiņa konkrētajā laika periodā, %</w:t>
            </w:r>
          </w:p>
        </w:tc>
      </w:tr>
      <w:tr w:rsidR="0073612E" w:rsidRPr="008E3182" w14:paraId="0B7FF182"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9F5B4FF" w14:textId="77777777" w:rsidR="0073612E" w:rsidRPr="00E30755" w:rsidRDefault="0073612E" w:rsidP="004473CF">
            <w:pPr>
              <w:spacing w:beforeLines="40" w:before="96" w:afterLines="40" w:after="96" w:line="264" w:lineRule="auto"/>
            </w:pPr>
            <m:oMathPara>
              <m:oMathParaPr>
                <m:jc m:val="left"/>
              </m:oMathParaPr>
              <m:oMath>
                <m:r>
                  <w:rPr>
                    <w:rFonts w:ascii="Cambria Math" w:eastAsia="Times New Roman" w:cs="Times New Roman"/>
                    <w:sz w:val="22"/>
                    <w:lang w:eastAsia="en-AU"/>
                  </w:rPr>
                  <m:t>Q</m:t>
                </m:r>
              </m:oMath>
            </m:oMathPara>
          </w:p>
        </w:tc>
        <w:tc>
          <w:tcPr>
            <w:tcW w:w="6945" w:type="dxa"/>
            <w:vAlign w:val="center"/>
          </w:tcPr>
          <w:p w14:paraId="622DA0D5" w14:textId="77777777" w:rsidR="0073612E" w:rsidRPr="00E30755"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faktiski izpildītais un LVC pieņemtais darbu apjoms</w:t>
            </w:r>
          </w:p>
        </w:tc>
      </w:tr>
      <w:tr w:rsidR="0073612E" w:rsidRPr="008E3182" w14:paraId="24CBD6F3"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660D1CE" w14:textId="77777777" w:rsidR="0073612E" w:rsidRPr="00E30755" w:rsidRDefault="0073612E" w:rsidP="004473CF">
            <w:pPr>
              <w:pStyle w:val="Pamatteksts"/>
              <w:spacing w:beforeLines="40" w:before="96" w:afterLines="40" w:after="96" w:line="264" w:lineRule="auto"/>
            </w:pPr>
            <m:oMathPara>
              <m:oMathParaPr>
                <m:jc m:val="left"/>
              </m:oMathParaPr>
              <m:oMath>
                <m:r>
                  <w:rPr>
                    <w:rFonts w:ascii="Cambria Math" w:eastAsia="Times New Roman" w:cs="Times New Roman"/>
                    <w:sz w:val="22"/>
                    <w:lang w:eastAsia="en-AU"/>
                  </w:rPr>
                  <m:t>S</m:t>
                </m:r>
              </m:oMath>
            </m:oMathPara>
          </w:p>
        </w:tc>
        <w:tc>
          <w:tcPr>
            <w:tcW w:w="6945" w:type="dxa"/>
            <w:vAlign w:val="center"/>
          </w:tcPr>
          <w:p w14:paraId="0B5DB3EA" w14:textId="77777777" w:rsidR="0073612E" w:rsidRPr="00E30755" w:rsidRDefault="0073612E" w:rsidP="004473CF">
            <w:pPr>
              <w:pStyle w:val="Pamatteksts"/>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E30755">
              <w:t>kopējā korekcijas summa par konkrēto darbu pozīciju attiecīgajā mēnesī</w:t>
            </w:r>
          </w:p>
        </w:tc>
      </w:tr>
      <w:tr w:rsidR="0073612E" w:rsidRPr="008E3182" w14:paraId="44F1040C" w14:textId="77777777" w:rsidTr="004473CF">
        <w:trPr>
          <w:trHeight w:val="34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3B01F1EF" w14:textId="77777777" w:rsidR="0073612E" w:rsidRPr="00CA5781" w:rsidRDefault="0073612E" w:rsidP="004473CF">
            <w:pPr>
              <w:spacing w:beforeLines="40" w:before="96" w:afterLines="40" w:after="96" w:line="264" w:lineRule="auto"/>
            </w:pPr>
            <m:oMathPara>
              <m:oMathParaPr>
                <m:jc m:val="left"/>
              </m:oMathParaPr>
              <m:oMath>
                <m:r>
                  <w:rPr>
                    <w:rFonts w:ascii="Cambria Math" w:hAnsi="Cambria Math"/>
                  </w:rPr>
                  <m:t>Δ</m:t>
                </m:r>
                <m:r>
                  <w:rPr>
                    <w:rFonts w:ascii="Cambria Math"/>
                  </w:rPr>
                  <m:t>P</m:t>
                </m:r>
              </m:oMath>
            </m:oMathPara>
          </w:p>
        </w:tc>
        <w:tc>
          <w:tcPr>
            <w:tcW w:w="6945" w:type="dxa"/>
            <w:vAlign w:val="center"/>
          </w:tcPr>
          <w:p w14:paraId="54AB2681" w14:textId="77777777" w:rsidR="0073612E" w:rsidRPr="008E3182" w:rsidRDefault="0073612E" w:rsidP="004473CF">
            <w:pPr>
              <w:spacing w:beforeLines="40" w:before="96" w:afterLines="40" w:after="96" w:line="264" w:lineRule="auto"/>
              <w:cnfStyle w:val="000000000000" w:firstRow="0" w:lastRow="0" w:firstColumn="0" w:lastColumn="0" w:oddVBand="0" w:evenVBand="0" w:oddHBand="0" w:evenHBand="0" w:firstRowFirstColumn="0" w:firstRowLastColumn="0" w:lastRowFirstColumn="0" w:lastRowLastColumn="0"/>
            </w:pPr>
            <w:r w:rsidRPr="008E3182">
              <w:t>ārkārtas bitumena cenas izmaiņa, EUR/t</w:t>
            </w:r>
          </w:p>
        </w:tc>
      </w:tr>
    </w:tbl>
    <w:p w14:paraId="0D636AC9" w14:textId="77777777" w:rsidR="00AF2AFC" w:rsidRPr="00AF2AFC" w:rsidRDefault="00AF2AFC" w:rsidP="006A086C">
      <w:pPr>
        <w:spacing w:after="60"/>
        <w:rPr>
          <w:i/>
          <w:iCs/>
          <w:sz w:val="16"/>
          <w:szCs w:val="16"/>
        </w:rPr>
      </w:pPr>
      <w:r w:rsidRPr="00AF2AFC">
        <w:rPr>
          <w:i/>
          <w:iCs/>
          <w:sz w:val="16"/>
          <w:szCs w:val="16"/>
        </w:rPr>
        <w:t>Avots: KPMG apkopojums, balstoties uz veikto analīzi</w:t>
      </w:r>
    </w:p>
    <w:p w14:paraId="3AA38B39" w14:textId="413A6C58" w:rsidR="00ED3254" w:rsidRDefault="00ED3254" w:rsidP="00F822E8">
      <w:pPr>
        <w:pStyle w:val="Virsraksts3"/>
      </w:pPr>
      <w:r w:rsidRPr="00B31666">
        <w:t>Bitumena</w:t>
      </w:r>
      <w:r w:rsidRPr="008E3182">
        <w:t xml:space="preserve"> bāzes cena un faktiskā cena nosakāma pēc AB “ORLEN Lietuva” Mažeiķu rūpnīcas bitumena cenas markām 50/70 un 70/100, bez PVN, atlaidēm un piegādes izmaksām.</w:t>
      </w:r>
    </w:p>
    <w:p w14:paraId="2EDC21C6" w14:textId="77777777" w:rsidR="004473CF" w:rsidRPr="004473CF" w:rsidRDefault="004473CF" w:rsidP="004473CF">
      <w:pPr>
        <w:pStyle w:val="Pamatteksts"/>
      </w:pPr>
    </w:p>
    <w:p w14:paraId="2F20E652" w14:textId="73C8808C" w:rsidR="00ED3254" w:rsidRPr="008E3182" w:rsidRDefault="00ED3254" w:rsidP="00ED3254">
      <w:pPr>
        <w:pStyle w:val="Virsraksts2"/>
        <w:rPr>
          <w:lang w:eastAsia="en-GB"/>
        </w:rPr>
      </w:pPr>
      <w:r w:rsidRPr="008E3182">
        <w:lastRenderedPageBreak/>
        <w:t>Bitumena bāzes cena un faktiskā cena</w:t>
      </w:r>
    </w:p>
    <w:p w14:paraId="1C309EC0" w14:textId="172327C1" w:rsidR="00ED3254" w:rsidRPr="008E3182" w:rsidRDefault="00ED3254" w:rsidP="006A086C">
      <w:pPr>
        <w:pStyle w:val="Virsraksts3"/>
        <w:keepNext w:val="0"/>
      </w:pPr>
      <w:r w:rsidRPr="008E3182">
        <w:t xml:space="preserve">Bitumena bāzes cena </w:t>
      </w:r>
      <m:oMath>
        <m:sSub>
          <m:sSubPr>
            <m:ctrlPr>
              <w:rPr>
                <w:rFonts w:ascii="Cambria Math" w:hAnsi="Cambria Math"/>
                <w:b/>
                <w:i/>
                <w:iCs/>
              </w:rPr>
            </m:ctrlPr>
          </m:sSubPr>
          <m:e>
            <m:r>
              <m:rPr>
                <m:sty m:val="bi"/>
              </m:rPr>
              <w:rPr>
                <w:rFonts w:ascii="Cambria Math"/>
              </w:rPr>
              <m:t>P</m:t>
            </m:r>
          </m:e>
          <m:sub>
            <m:r>
              <m:rPr>
                <m:sty m:val="bi"/>
              </m:rPr>
              <w:rPr>
                <w:rFonts w:ascii="Cambria Math"/>
              </w:rPr>
              <m:t>0</m:t>
            </m:r>
          </m:sub>
        </m:sSub>
      </m:oMath>
      <w:r w:rsidRPr="008E3182">
        <w:t xml:space="preserve">nosakāma kā </w:t>
      </w:r>
      <w:r w:rsidR="00CA5781" w:rsidRPr="00CA5781">
        <w:t>pēdējo 12 mēnešu pirms sadārdzinājuma (2025. gada marts – 2026. gada februāris) Mažeiķu bitumena vidēji svērtā cena, sverot pēc piegādes apjomiem</w:t>
      </w:r>
      <w:r w:rsidR="00857769">
        <w:t xml:space="preserve"> (skat Tabula 2)</w:t>
      </w:r>
      <w:r w:rsidR="00CA5781" w:rsidRPr="00CA5781">
        <w:t>. Šāda pieeja nodrošina, ka bāzes cena atspoguļo stabilu tirgus līmeni un nav pakļauta atsevišķu mēnešu svārstību ietekmei.</w:t>
      </w:r>
    </w:p>
    <w:p w14:paraId="1046DFC1" w14:textId="2904D904" w:rsidR="00ED3254" w:rsidRPr="008E3182" w:rsidRDefault="00ED3254" w:rsidP="006A086C">
      <w:pPr>
        <w:pStyle w:val="Virsraksts3"/>
        <w:keepNext w:val="0"/>
      </w:pPr>
      <w:r w:rsidRPr="008E3182">
        <w:t xml:space="preserve">Bitumena faktiskā cena </w:t>
      </w:r>
      <m:oMath>
        <m:sSub>
          <m:sSubPr>
            <m:ctrlPr>
              <w:rPr>
                <w:rFonts w:ascii="Cambria Math" w:hAnsi="Cambria Math"/>
                <w:b/>
                <w:i/>
                <w:iCs/>
              </w:rPr>
            </m:ctrlPr>
          </m:sSubPr>
          <m:e>
            <m:r>
              <m:rPr>
                <m:sty m:val="bi"/>
              </m:rPr>
              <w:rPr>
                <w:rFonts w:ascii="Cambria Math"/>
              </w:rPr>
              <m:t>P</m:t>
            </m:r>
          </m:e>
          <m:sub>
            <m:r>
              <m:rPr>
                <m:sty m:val="bi"/>
              </m:rPr>
              <w:rPr>
                <w:rFonts w:ascii="Cambria Math"/>
              </w:rPr>
              <m:t>1</m:t>
            </m:r>
          </m:sub>
        </m:sSub>
      </m:oMath>
      <w:r w:rsidRPr="008E3182">
        <w:t xml:space="preserve"> nosakāma kā Mažeiķu bitumena vidējā cena tajā mēnesī, kurā attiecīgā darbu pozīcija faktiski izpildīta un LVC pieņemta.</w:t>
      </w:r>
    </w:p>
    <w:p w14:paraId="0A02A4D7" w14:textId="77777777" w:rsidR="00ED3254" w:rsidRPr="008E3182" w:rsidRDefault="00ED3254" w:rsidP="006A086C">
      <w:pPr>
        <w:pStyle w:val="Virsraksts3"/>
        <w:keepNext w:val="0"/>
      </w:pPr>
      <w:r w:rsidRPr="008E3182">
        <w:t>Ja attiecīgajā mēnesī ir vairākas Mažeiķu cenas, izmantojams laika svērtais vidējais rādītājs, ja ir zināmi cenu spēkā esības periodi. Ja šādi periodi nav precīzi pieejami, izmantojams attiecīgā mēneša aritmētiskais vidējais rādītājs.</w:t>
      </w:r>
    </w:p>
    <w:p w14:paraId="227A88A6" w14:textId="77777777" w:rsidR="00ED3254" w:rsidRPr="008E3182" w:rsidRDefault="00ED3254" w:rsidP="006A086C">
      <w:pPr>
        <w:pStyle w:val="Virsraksts3"/>
        <w:keepNext w:val="0"/>
      </w:pPr>
      <w:r w:rsidRPr="008E3182">
        <w:t>Ja darbi veikti vairākos mēnešos, izpildītais apjoms sadalāms pa mēnešiem, un katram mēnesim piemērojama attiecīgā mēneša Mažeiķu bitumena cena.</w:t>
      </w:r>
    </w:p>
    <w:p w14:paraId="51D91927" w14:textId="3832CE82" w:rsidR="00ED3254" w:rsidRPr="008E3182" w:rsidRDefault="00B10355" w:rsidP="00ED3254">
      <w:pPr>
        <w:pStyle w:val="Virsraksts2"/>
        <w:rPr>
          <w:lang w:eastAsia="en-GB"/>
        </w:rPr>
      </w:pPr>
      <w:r>
        <w:t>Normāli</w:t>
      </w:r>
      <w:r w:rsidR="00ED3254" w:rsidRPr="008E3182">
        <w:t xml:space="preserve"> paredzamā bitumena cenas izmaiņa</w:t>
      </w:r>
    </w:p>
    <w:p w14:paraId="10A6C6A3" w14:textId="1E5A46EC" w:rsidR="00ED3254" w:rsidRPr="008E3182" w:rsidRDefault="00ED3254" w:rsidP="00F822E8">
      <w:pPr>
        <w:pStyle w:val="Virsraksts3"/>
      </w:pPr>
      <w:r w:rsidRPr="008E3182">
        <w:t xml:space="preserve">Lai netiktu kompensēta parasta </w:t>
      </w:r>
      <w:proofErr w:type="spellStart"/>
      <w:r w:rsidRPr="008E3182">
        <w:t>komercriska</w:t>
      </w:r>
      <w:proofErr w:type="spellEnd"/>
      <w:r w:rsidRPr="008E3182">
        <w:t xml:space="preserve"> daļa, no bitumena cenas izmaiņas jāatskaita </w:t>
      </w:r>
      <w:r w:rsidR="00B10355">
        <w:t>normāli</w:t>
      </w:r>
      <w:r w:rsidR="00B10355" w:rsidRPr="008E3182">
        <w:t xml:space="preserve"> </w:t>
      </w:r>
      <w:r w:rsidRPr="008E3182">
        <w:t xml:space="preserve">paredzamā </w:t>
      </w:r>
      <w:r w:rsidR="0073612E" w:rsidRPr="0073612E">
        <w:t>jeb praktiski sagaidāmā</w:t>
      </w:r>
      <w:r w:rsidR="00652E73">
        <w:t xml:space="preserve"> </w:t>
      </w:r>
      <w:r w:rsidRPr="008E3182">
        <w:t xml:space="preserve">cenu izmaiņa </w:t>
      </w:r>
      <m:oMath>
        <m:r>
          <m:rPr>
            <m:sty m:val="bi"/>
          </m:rPr>
          <w:rPr>
            <w:rFonts w:ascii="Cambria Math" w:hAnsi="Cambria Math"/>
          </w:rPr>
          <m:t>E</m:t>
        </m:r>
      </m:oMath>
      <w:r w:rsidRPr="008E3182">
        <w:t>.</w:t>
      </w:r>
    </w:p>
    <w:p w14:paraId="691F0A0B" w14:textId="24CFB4CB" w:rsidR="00ED3254" w:rsidRPr="008E3182" w:rsidRDefault="00B10355" w:rsidP="00F822E8">
      <w:pPr>
        <w:pStyle w:val="Virsraksts3"/>
      </w:pPr>
      <w:r>
        <w:t>Normāli</w:t>
      </w:r>
      <w:r w:rsidRPr="008E3182">
        <w:t xml:space="preserve"> </w:t>
      </w:r>
      <w:r w:rsidR="00CA5781" w:rsidRPr="00CA5781">
        <w:t xml:space="preserve">paredzamā bitumena cenas izmaiņa </w:t>
      </w:r>
      <m:oMath>
        <m:r>
          <m:rPr>
            <m:sty m:val="bi"/>
          </m:rPr>
          <w:rPr>
            <w:rFonts w:ascii="Cambria Math" w:hAnsi="Cambria Math"/>
          </w:rPr>
          <m:t>E</m:t>
        </m:r>
      </m:oMath>
      <w:r w:rsidR="00CA5781" w:rsidRPr="00CA5781">
        <w:t xml:space="preserve"> šajā mehānismā tiek definēta kā ECB ilgtermiņa inflācijas mērķis – 2% gadā.</w:t>
      </w:r>
      <w:r w:rsidR="00CA5781">
        <w:rPr>
          <w:b/>
        </w:rPr>
        <w:t xml:space="preserve"> </w:t>
      </w:r>
      <w:r w:rsidR="00CA5781" w:rsidRPr="00CA5781">
        <w:t>Šāda pieeja aizstāj vēsturiskās sezonalitātes analīzi, ņemot vērā pieejamo bitumena cenu datu svārstīgumu un ierobežoto reprezentativitāti, kā arī nodrošina metodoloģiski stabilu un konservatīvu paredzamās cenu izmaiņas novērtējumu.</w:t>
      </w:r>
    </w:p>
    <w:p w14:paraId="62706DAB" w14:textId="2F5CBC24" w:rsidR="00ED3254" w:rsidRPr="008E3182" w:rsidRDefault="00ED3254" w:rsidP="00ED3254">
      <w:pPr>
        <w:pStyle w:val="Virsraksts2"/>
        <w:rPr>
          <w:lang w:eastAsia="en-GB"/>
        </w:rPr>
      </w:pPr>
      <w:r w:rsidRPr="008E3182">
        <w:t>Bitumena ārkārtas cenas izmaiņas aprēķins</w:t>
      </w:r>
    </w:p>
    <w:p w14:paraId="0E2C3641" w14:textId="77777777" w:rsidR="00ED3254" w:rsidRPr="008E3182" w:rsidRDefault="00ED3254" w:rsidP="00F822E8">
      <w:pPr>
        <w:pStyle w:val="Virsraksts3"/>
      </w:pPr>
      <w:r w:rsidRPr="008E3182">
        <w:t>Ārkārtas bitumena cenas izmaiņa aprēķināma šādi:</w:t>
      </w:r>
    </w:p>
    <w:p w14:paraId="2D613693" w14:textId="3DC75D4B" w:rsidR="00CA5781" w:rsidRPr="00CA5781" w:rsidRDefault="00CA5781" w:rsidP="006417C1">
      <w:pPr>
        <w:jc w:val="center"/>
      </w:pPr>
      <m:oMath>
        <m:r>
          <m:rPr>
            <m:sty m:val="bi"/>
          </m:rPr>
          <w:rPr>
            <w:rFonts w:ascii="Cambria Math" w:hAnsi="Cambria Math"/>
          </w:rPr>
          <m:t>Δ</m:t>
        </m:r>
        <m:r>
          <m:rPr>
            <m:sty m:val="bi"/>
          </m:rPr>
          <w:rPr>
            <w:rFonts w:ascii="Cambria Math"/>
          </w:rPr>
          <m:t xml:space="preserve">P= </m:t>
        </m:r>
        <m:sSub>
          <m:sSubPr>
            <m:ctrlPr>
              <w:rPr>
                <w:rFonts w:ascii="Cambria Math" w:hAnsi="Cambria Math"/>
                <w:b/>
                <w:bCs/>
                <w:i/>
                <w:iCs/>
              </w:rPr>
            </m:ctrlPr>
          </m:sSubPr>
          <m:e>
            <m:r>
              <m:rPr>
                <m:sty m:val="bi"/>
              </m:rPr>
              <w:rPr>
                <w:rFonts w:ascii="Cambria Math"/>
              </w:rPr>
              <m:t>P</m:t>
            </m:r>
          </m:e>
          <m:sub>
            <m:r>
              <m:rPr>
                <m:sty m:val="bi"/>
              </m:rPr>
              <w:rPr>
                <w:rFonts w:ascii="Cambria Math"/>
              </w:rPr>
              <m:t>1</m:t>
            </m:r>
          </m:sub>
        </m:sSub>
        <m:r>
          <m:rPr>
            <m:sty m:val="bi"/>
          </m:rPr>
          <w:rPr>
            <w:rFonts w:ascii="Cambria Math"/>
          </w:rPr>
          <m:t>-</m:t>
        </m:r>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0</m:t>
            </m:r>
          </m:sub>
        </m:sSub>
        <m:r>
          <m:rPr>
            <m:sty m:val="bi"/>
          </m:rPr>
          <w:rPr>
            <w:rFonts w:ascii="Cambria Math" w:hAnsi="Cambria Math"/>
          </w:rPr>
          <m:t xml:space="preserve">∙(1+E) </m:t>
        </m:r>
      </m:oMath>
      <w:r>
        <w:t xml:space="preserve">  </w:t>
      </w:r>
      <w:r w:rsidRPr="00CA5781">
        <w:t xml:space="preserve"> </w:t>
      </w:r>
    </w:p>
    <w:p w14:paraId="5785E086" w14:textId="532C15C0" w:rsidR="00ED3254" w:rsidRPr="008E3182" w:rsidRDefault="00ED3254" w:rsidP="00ED3254">
      <w:r w:rsidRPr="008E3182">
        <w:t xml:space="preserve">Ja </w:t>
      </w:r>
      <m:oMath>
        <m:r>
          <m:rPr>
            <m:sty m:val="bi"/>
          </m:rPr>
          <w:rPr>
            <w:rFonts w:ascii="Cambria Math" w:hAnsi="Cambria Math"/>
          </w:rPr>
          <m:t>Δ</m:t>
        </m:r>
        <m:r>
          <m:rPr>
            <m:sty m:val="bi"/>
          </m:rPr>
          <w:rPr>
            <w:rFonts w:ascii="Cambria Math"/>
          </w:rPr>
          <m:t>P&gt;0</m:t>
        </m:r>
      </m:oMath>
      <w:r w:rsidRPr="008E3182">
        <w:t>, šī summa ir kompensējamais ārkārtas bitumena cenas pieaugums, EUR/t.</w:t>
      </w:r>
    </w:p>
    <w:p w14:paraId="460359E8" w14:textId="571DDE82" w:rsidR="00ED3254" w:rsidRPr="008E3182" w:rsidRDefault="00ED3254" w:rsidP="00ED3254">
      <w:r w:rsidRPr="008E3182">
        <w:t xml:space="preserve">Ja </w:t>
      </w:r>
      <m:oMath>
        <m:r>
          <m:rPr>
            <m:sty m:val="bi"/>
          </m:rPr>
          <w:rPr>
            <w:rFonts w:ascii="Cambria Math" w:hAnsi="Cambria Math"/>
          </w:rPr>
          <m:t>Δ</m:t>
        </m:r>
        <m:r>
          <m:rPr>
            <m:sty m:val="bi"/>
          </m:rPr>
          <w:rPr>
            <w:rFonts w:ascii="Cambria Math"/>
          </w:rPr>
          <m:t>P=0</m:t>
        </m:r>
      </m:oMath>
      <w:r w:rsidRPr="008E3182">
        <w:t>, piemaksa netiek piemērota.</w:t>
      </w:r>
    </w:p>
    <w:p w14:paraId="099D0256" w14:textId="411A06E0" w:rsidR="00ED3254" w:rsidRPr="008E3182" w:rsidRDefault="00ED3254" w:rsidP="006A086C">
      <w:r w:rsidRPr="008E3182">
        <w:t xml:space="preserve">Ja </w:t>
      </w:r>
      <m:oMath>
        <m:r>
          <m:rPr>
            <m:sty m:val="bi"/>
          </m:rPr>
          <w:rPr>
            <w:rFonts w:ascii="Cambria Math" w:hAnsi="Cambria Math"/>
          </w:rPr>
          <m:t>Δ</m:t>
        </m:r>
        <m:r>
          <m:rPr>
            <m:sty m:val="bi"/>
          </m:rPr>
          <w:rPr>
            <w:rFonts w:ascii="Cambria Math"/>
          </w:rPr>
          <m:t>P&lt;0</m:t>
        </m:r>
      </m:oMath>
      <w:r w:rsidRPr="008E3182">
        <w:t>, korekcija piemērojama pasūtītāja labā, proti, samazinot attiecīgās darbu pozīcijas vienības cenu pēc tā paša bitumena patēriņa koeficienta.</w:t>
      </w:r>
    </w:p>
    <w:p w14:paraId="676F43AE" w14:textId="7822F394" w:rsidR="00ED3254" w:rsidRDefault="00ED3254" w:rsidP="006A086C">
      <w:pPr>
        <w:pStyle w:val="Virsraksts3"/>
        <w:keepNext w:val="0"/>
      </w:pPr>
      <w:r w:rsidRPr="008E3182">
        <w:t xml:space="preserve">Šī formula nodrošina, ka netiek kompensēta visa bitumena cenas izmaiņa, bet tikai tā daļa, kas pārsniedz </w:t>
      </w:r>
      <w:r w:rsidR="00B10355">
        <w:t>normāli</w:t>
      </w:r>
      <w:r w:rsidR="00B10355" w:rsidRPr="008E3182">
        <w:t xml:space="preserve"> </w:t>
      </w:r>
      <w:r w:rsidRPr="008E3182">
        <w:t>paredzamo cenu izmaiņu.</w:t>
      </w:r>
    </w:p>
    <w:p w14:paraId="32844B05" w14:textId="1145C5A7" w:rsidR="00ED3254" w:rsidRPr="008E3182" w:rsidRDefault="00ED3254" w:rsidP="006A086C">
      <w:pPr>
        <w:pStyle w:val="Virsraksts2"/>
        <w:keepNext w:val="0"/>
        <w:rPr>
          <w:lang w:eastAsia="en-GB"/>
        </w:rPr>
      </w:pPr>
      <w:r w:rsidRPr="008E3182">
        <w:lastRenderedPageBreak/>
        <w:t>Bitumena korekcija vienības cenā</w:t>
      </w:r>
    </w:p>
    <w:p w14:paraId="183ECC5F" w14:textId="77777777" w:rsidR="00ED3254" w:rsidRPr="008E3182" w:rsidRDefault="00ED3254" w:rsidP="006A086C">
      <w:pPr>
        <w:pStyle w:val="Virsraksts3"/>
        <w:keepNext w:val="0"/>
      </w:pPr>
      <w:r w:rsidRPr="008E3182">
        <w:t>Bitumena cenas izmaiņa nav piemērojama visai asfaltbetona vienības cenai. Tā piemērojama tikai bitumena daudzumam konkrētajā darbu pozīcijā.</w:t>
      </w:r>
    </w:p>
    <w:p w14:paraId="3C330BEA" w14:textId="77777777" w:rsidR="00ED3254" w:rsidRPr="008E3182" w:rsidRDefault="00ED3254" w:rsidP="006A086C">
      <w:pPr>
        <w:pStyle w:val="Virsraksts3"/>
        <w:keepNext w:val="0"/>
      </w:pPr>
      <w:r w:rsidRPr="008E3182">
        <w:t>Praktiskai piemērošanai jāizmanto LVC apstiprināts bitumena patēriņa koeficients attiecīgajai darbu pozīcijai. Šis koeficients var izrietēt no LVC esošās pārrēķina metodes, tehniskajām specifikācijām, apstiprinātā asfaltbetona sastāva vai LVC apstiprinātas standarta koeficientu tabulas.</w:t>
      </w:r>
    </w:p>
    <w:p w14:paraId="0D5CDAB7" w14:textId="77777777" w:rsidR="00ED3254" w:rsidRPr="008E3182" w:rsidRDefault="00ED3254" w:rsidP="006A086C">
      <w:r w:rsidRPr="008E3182">
        <w:t>Formula:</w:t>
      </w:r>
    </w:p>
    <w:p w14:paraId="5CD38087" w14:textId="686327A3" w:rsidR="00CA5781" w:rsidRDefault="00000000" w:rsidP="006417C1">
      <w:pPr>
        <w:jc w:val="center"/>
        <w:rPr>
          <w:b/>
          <w:bCs/>
        </w:rPr>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bitumens</m:t>
            </m:r>
          </m:sub>
        </m:sSub>
        <m:r>
          <m:rPr>
            <m:sty m:val="bi"/>
          </m:rPr>
          <w:rPr>
            <w:rFonts w:ascii="Cambria Math" w:hAnsi="Cambria Math"/>
          </w:rPr>
          <m:t>=Δ</m:t>
        </m:r>
        <m:r>
          <m:rPr>
            <m:sty m:val="bi"/>
          </m:rPr>
          <w:rPr>
            <w:rFonts w:ascii="Cambria Math"/>
          </w:rPr>
          <m:t>P</m:t>
        </m:r>
        <m:r>
          <m:rPr>
            <m:sty m:val="bi"/>
          </m:rPr>
          <w:rPr>
            <w:rFonts w:ascii="Cambria Math" w:hAnsi="Cambria Math"/>
          </w:rPr>
          <m:t>∙</m:t>
        </m:r>
        <m:r>
          <m:rPr>
            <m:sty m:val="bi"/>
          </m:rPr>
          <w:rPr>
            <w:rFonts w:ascii="Cambria Math"/>
          </w:rPr>
          <m:t>B</m:t>
        </m:r>
      </m:oMath>
      <w:r w:rsidR="00CA5781">
        <w:rPr>
          <w:b/>
          <w:bCs/>
          <w:iCs/>
        </w:rPr>
        <w:t xml:space="preserve">, </w:t>
      </w:r>
      <w:r w:rsidR="00CA5781" w:rsidRPr="00CA5781">
        <w:rPr>
          <w:i/>
          <w:sz w:val="20"/>
          <w:szCs w:val="20"/>
        </w:rPr>
        <w:t>kur</w:t>
      </w:r>
    </w:p>
    <w:p w14:paraId="7F530BE0" w14:textId="1DD585FC" w:rsidR="00C64750" w:rsidRDefault="00000000" w:rsidP="00C64750">
      <w:pPr>
        <w:jc w:val="left"/>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bitumens</m:t>
            </m:r>
          </m:sub>
        </m:sSub>
      </m:oMath>
      <w:r w:rsidR="00ED3254" w:rsidRPr="008E3182">
        <w:t xml:space="preserve"> </w:t>
      </w:r>
      <w:r w:rsidR="00CA5781" w:rsidRPr="00CA5781">
        <w:rPr>
          <w:i/>
          <w:iCs/>
          <w:sz w:val="20"/>
          <w:szCs w:val="20"/>
        </w:rPr>
        <w:t>–</w:t>
      </w:r>
      <w:r w:rsidR="00ED3254" w:rsidRPr="00CA5781">
        <w:rPr>
          <w:i/>
          <w:iCs/>
          <w:sz w:val="20"/>
          <w:szCs w:val="20"/>
        </w:rPr>
        <w:t xml:space="preserve"> bitumena komponentes korekcija vienības cenā;</w:t>
      </w:r>
      <w:r w:rsidR="00ED3254" w:rsidRPr="008E3182">
        <w:br/>
      </w:r>
      <m:oMath>
        <m:r>
          <m:rPr>
            <m:sty m:val="bi"/>
          </m:rPr>
          <w:rPr>
            <w:rFonts w:ascii="Cambria Math" w:hAnsi="Cambria Math"/>
          </w:rPr>
          <m:t>Δ</m:t>
        </m:r>
        <m:r>
          <m:rPr>
            <m:sty m:val="bi"/>
          </m:rPr>
          <w:rPr>
            <w:rFonts w:ascii="Cambria Math"/>
          </w:rPr>
          <m:t>P</m:t>
        </m:r>
      </m:oMath>
      <w:r w:rsidR="00ED3254" w:rsidRPr="008E3182">
        <w:t xml:space="preserve"> </w:t>
      </w:r>
      <w:r w:rsidR="00CA5781" w:rsidRPr="00CA5781">
        <w:rPr>
          <w:i/>
          <w:iCs/>
          <w:sz w:val="20"/>
          <w:szCs w:val="20"/>
        </w:rPr>
        <w:t>–</w:t>
      </w:r>
      <w:r w:rsidR="00ED3254" w:rsidRPr="00CA5781">
        <w:rPr>
          <w:i/>
          <w:iCs/>
          <w:sz w:val="20"/>
          <w:szCs w:val="20"/>
        </w:rPr>
        <w:t xml:space="preserve"> ārkārtas bitumena cenas izmaiņa, EUR/t;</w:t>
      </w:r>
      <w:r w:rsidR="00ED3254" w:rsidRPr="008E3182">
        <w:br/>
      </w:r>
      <m:oMath>
        <m:r>
          <m:rPr>
            <m:sty m:val="bi"/>
          </m:rPr>
          <w:rPr>
            <w:rFonts w:ascii="Cambria Math"/>
          </w:rPr>
          <m:t>B</m:t>
        </m:r>
      </m:oMath>
      <w:r w:rsidR="00ED3254" w:rsidRPr="008E3182">
        <w:t xml:space="preserve"> </w:t>
      </w:r>
      <w:r w:rsidR="00CA5781" w:rsidRPr="00CA5781">
        <w:rPr>
          <w:i/>
          <w:iCs/>
          <w:sz w:val="20"/>
          <w:szCs w:val="20"/>
        </w:rPr>
        <w:t>–</w:t>
      </w:r>
      <w:r w:rsidR="00ED3254" w:rsidRPr="00CA5781">
        <w:rPr>
          <w:i/>
          <w:iCs/>
          <w:sz w:val="20"/>
          <w:szCs w:val="20"/>
        </w:rPr>
        <w:t xml:space="preserve"> bitumena patēriņa koeficients konkrētajā darbu pozīcijā.</w:t>
      </w:r>
    </w:p>
    <w:p w14:paraId="61E903DF" w14:textId="6EFE0022" w:rsidR="00ED3254" w:rsidRPr="008E3182" w:rsidRDefault="00ED3254" w:rsidP="00924E84">
      <w:pPr>
        <w:pStyle w:val="Virsraksts3"/>
      </w:pPr>
      <w:r w:rsidRPr="008E3182">
        <w:t xml:space="preserve">Ja darbu pozīcija uzskaitīta tonnās, </w:t>
      </w:r>
      <m:oMath>
        <m:r>
          <m:rPr>
            <m:sty m:val="bi"/>
          </m:rPr>
          <w:rPr>
            <w:rFonts w:ascii="Cambria Math"/>
          </w:rPr>
          <m:t>B</m:t>
        </m:r>
      </m:oMath>
      <w:r w:rsidRPr="008E3182">
        <w:t xml:space="preserve"> izsakāms kā t bitumena / t asfaltbetona.</w:t>
      </w:r>
      <w:r w:rsidR="00C64750">
        <w:t xml:space="preserve"> </w:t>
      </w:r>
      <w:r w:rsidRPr="008E3182">
        <w:t xml:space="preserve">Ja darbu pozīcija uzskaitīta kvadrātmetros, </w:t>
      </w:r>
      <m:oMath>
        <m:r>
          <m:rPr>
            <m:sty m:val="bi"/>
          </m:rPr>
          <w:rPr>
            <w:rFonts w:ascii="Cambria Math"/>
          </w:rPr>
          <m:t>B</m:t>
        </m:r>
      </m:oMath>
      <w:r w:rsidRPr="008E3182">
        <w:t xml:space="preserve"> izsakāms kā t bitumena / m².</w:t>
      </w:r>
    </w:p>
    <w:p w14:paraId="43466F1C" w14:textId="77777777" w:rsidR="00ED3254" w:rsidRPr="008E3182" w:rsidRDefault="00ED3254" w:rsidP="00F822E8">
      <w:pPr>
        <w:pStyle w:val="Virsraksts3"/>
      </w:pPr>
      <w:r w:rsidRPr="008E3182">
        <w:t xml:space="preserve">Detalizēts aprēķins ar slāņa biezumu, </w:t>
      </w:r>
      <w:proofErr w:type="spellStart"/>
      <w:r w:rsidRPr="008E3182">
        <w:t>tilpumblīvumu</w:t>
      </w:r>
      <w:proofErr w:type="spellEnd"/>
      <w:r w:rsidRPr="008E3182">
        <w:t xml:space="preserve"> un bitumena saturu nav jāveic katram norēķinam no jauna, ja attiecīgajai pozīcijai ir LVC apstiprināts standarta koeficients. Šāds detalizēts aprēķins izmantojams tikai koeficienta noteikšanai vai pārbaudei.</w:t>
      </w:r>
    </w:p>
    <w:p w14:paraId="00214AA2" w14:textId="77777777" w:rsidR="00ED3254" w:rsidRPr="008E3182" w:rsidRDefault="00ED3254" w:rsidP="00F822E8">
      <w:pPr>
        <w:pStyle w:val="Virsraksts3"/>
      </w:pPr>
      <w:r w:rsidRPr="008E3182">
        <w:t>Ja standarta koeficients nav noteikts, bitumena daudzumu pozīcijām, kas uzskaitītas m², var aprēķināt šādi:</w:t>
      </w:r>
    </w:p>
    <w:p w14:paraId="1838EAF1" w14:textId="2429D69F" w:rsidR="00ED3254" w:rsidRPr="008E3182" w:rsidRDefault="00CA5781" w:rsidP="006417C1">
      <w:pPr>
        <w:jc w:val="center"/>
        <w:rPr>
          <w:b/>
          <w:bCs/>
        </w:rPr>
      </w:pPr>
      <m:oMath>
        <m:r>
          <m:rPr>
            <m:sty m:val="bi"/>
          </m:rPr>
          <w:rPr>
            <w:rFonts w:ascii="Cambria Math"/>
          </w:rPr>
          <m:t>B=h</m:t>
        </m:r>
        <m:r>
          <m:rPr>
            <m:sty m:val="bi"/>
          </m:rPr>
          <w:rPr>
            <w:rFonts w:ascii="Cambria Math" w:hAnsi="Cambria Math"/>
          </w:rPr>
          <m:t>∙ρ∙b</m:t>
        </m:r>
      </m:oMath>
      <w:r w:rsidR="00ED3254" w:rsidRPr="008E3182">
        <w:rPr>
          <w:b/>
          <w:bCs/>
        </w:rPr>
        <w:t xml:space="preserve"> </w:t>
      </w:r>
      <w:r w:rsidRPr="00CA5781">
        <w:rPr>
          <w:i/>
          <w:iCs/>
          <w:sz w:val="20"/>
          <w:szCs w:val="20"/>
        </w:rPr>
        <w:t>, kur</w:t>
      </w:r>
    </w:p>
    <w:p w14:paraId="5B7245DF" w14:textId="0E6F19D1" w:rsidR="00ED3254" w:rsidRPr="008E3182" w:rsidRDefault="00CA5781" w:rsidP="006417C1">
      <w:pPr>
        <w:jc w:val="left"/>
      </w:pPr>
      <m:oMath>
        <m:r>
          <m:rPr>
            <m:sty m:val="bi"/>
          </m:rPr>
          <w:rPr>
            <w:rFonts w:ascii="Cambria Math"/>
          </w:rPr>
          <m:t>h</m:t>
        </m:r>
      </m:oMath>
      <w:r w:rsidR="00ED3254" w:rsidRPr="008E3182">
        <w:t xml:space="preserve"> </w:t>
      </w:r>
      <w:r w:rsidRPr="00CA5781">
        <w:rPr>
          <w:i/>
          <w:iCs/>
          <w:sz w:val="20"/>
          <w:szCs w:val="20"/>
        </w:rPr>
        <w:t>–</w:t>
      </w:r>
      <w:r w:rsidR="00ED3254" w:rsidRPr="008E3182">
        <w:t xml:space="preserve"> </w:t>
      </w:r>
      <w:r w:rsidR="00ED3254" w:rsidRPr="00CA5781">
        <w:rPr>
          <w:i/>
          <w:iCs/>
          <w:sz w:val="20"/>
          <w:szCs w:val="20"/>
        </w:rPr>
        <w:t>slāņa biezums, m;</w:t>
      </w:r>
      <w:r w:rsidR="00ED3254" w:rsidRPr="008E3182">
        <w:br/>
      </w:r>
      <m:oMath>
        <m:r>
          <m:rPr>
            <m:sty m:val="bi"/>
          </m:rPr>
          <w:rPr>
            <w:rFonts w:ascii="Cambria Math" w:hAnsi="Cambria Math"/>
          </w:rPr>
          <m:t>ρ</m:t>
        </m:r>
      </m:oMath>
      <w:r w:rsidR="00ED3254" w:rsidRPr="008E3182">
        <w:t xml:space="preserve"> </w:t>
      </w:r>
      <w:r w:rsidRPr="00CA5781">
        <w:rPr>
          <w:i/>
          <w:iCs/>
          <w:sz w:val="20"/>
          <w:szCs w:val="20"/>
        </w:rPr>
        <w:t>–</w:t>
      </w:r>
      <w:r w:rsidR="00ED3254" w:rsidRPr="008E3182">
        <w:t xml:space="preserve"> </w:t>
      </w:r>
      <w:proofErr w:type="spellStart"/>
      <w:r w:rsidR="00ED3254" w:rsidRPr="00CA5781">
        <w:rPr>
          <w:i/>
          <w:iCs/>
          <w:sz w:val="20"/>
          <w:szCs w:val="20"/>
        </w:rPr>
        <w:t>tilpumblīvums</w:t>
      </w:r>
      <w:proofErr w:type="spellEnd"/>
      <w:r w:rsidR="00ED3254" w:rsidRPr="00CA5781">
        <w:rPr>
          <w:i/>
          <w:iCs/>
          <w:sz w:val="20"/>
          <w:szCs w:val="20"/>
        </w:rPr>
        <w:t>, t/m³;</w:t>
      </w:r>
      <w:r w:rsidR="00ED3254" w:rsidRPr="008E3182">
        <w:br/>
      </w:r>
      <m:oMath>
        <m:r>
          <m:rPr>
            <m:sty m:val="bi"/>
          </m:rPr>
          <w:rPr>
            <w:rFonts w:ascii="Cambria Math" w:hAnsi="Cambria Math"/>
          </w:rPr>
          <m:t>b</m:t>
        </m:r>
      </m:oMath>
      <w:r w:rsidR="00ED3254" w:rsidRPr="008E3182">
        <w:t xml:space="preserve"> </w:t>
      </w:r>
      <w:r w:rsidRPr="00CA5781">
        <w:rPr>
          <w:i/>
          <w:iCs/>
          <w:sz w:val="20"/>
          <w:szCs w:val="20"/>
        </w:rPr>
        <w:t>–</w:t>
      </w:r>
      <w:r w:rsidR="00ED3254" w:rsidRPr="008E3182">
        <w:t xml:space="preserve"> </w:t>
      </w:r>
      <w:r w:rsidR="00ED3254" w:rsidRPr="00CA5781">
        <w:rPr>
          <w:i/>
          <w:iCs/>
          <w:sz w:val="20"/>
          <w:szCs w:val="20"/>
        </w:rPr>
        <w:t>bitumena saturs, t/t asfaltbetona.</w:t>
      </w:r>
    </w:p>
    <w:p w14:paraId="49EF7000" w14:textId="77777777" w:rsidR="00ED3254" w:rsidRDefault="00ED3254" w:rsidP="00F822E8">
      <w:pPr>
        <w:pStyle w:val="Virsraksts3"/>
      </w:pPr>
      <w:r w:rsidRPr="008E3182">
        <w:t>Lai mehānismu padarītu praktiski administrējamu, LVC būtu ieteicams apstiprināt standarta bitumena patēriņa koeficientu tabulu pa tipiskajām asfaltbetona darbu pozīcijām.</w:t>
      </w:r>
    </w:p>
    <w:p w14:paraId="3409D9B8" w14:textId="77777777" w:rsidR="004473CF" w:rsidRPr="004473CF" w:rsidRDefault="004473CF" w:rsidP="004473CF">
      <w:pPr>
        <w:pStyle w:val="Pamatteksts"/>
      </w:pPr>
    </w:p>
    <w:p w14:paraId="0FB2315A" w14:textId="352B2C0F" w:rsidR="00ED3254" w:rsidRPr="008E3182" w:rsidRDefault="00ED3254" w:rsidP="00ED3254">
      <w:pPr>
        <w:pStyle w:val="Virsraksts2"/>
        <w:rPr>
          <w:lang w:eastAsia="en-GB"/>
        </w:rPr>
      </w:pPr>
      <w:r w:rsidRPr="008E3182">
        <w:lastRenderedPageBreak/>
        <w:t>Koriģētā vienības cena</w:t>
      </w:r>
    </w:p>
    <w:p w14:paraId="3A20FAA7" w14:textId="5CD09AE0" w:rsidR="00CA5781" w:rsidRPr="00CA5781" w:rsidRDefault="00ED3254" w:rsidP="00CA5781">
      <w:pPr>
        <w:pStyle w:val="Virsraksts3"/>
      </w:pPr>
      <w:r w:rsidRPr="008E3182">
        <w:t>Koriģētā vienības cena aprēķināma šādi:</w:t>
      </w:r>
    </w:p>
    <w:p w14:paraId="4C3356CF" w14:textId="21A38BA5" w:rsidR="00F37AE5" w:rsidRDefault="00F37AE5" w:rsidP="00F37AE5">
      <w:pPr>
        <w:jc w:val="center"/>
        <w:rPr>
          <w:b/>
          <w:bCs/>
        </w:rPr>
      </w:pPr>
      <w:r w:rsidRPr="00F37AE5">
        <w:rPr>
          <w:b/>
          <w:bCs/>
        </w:rPr>
        <w:t xml:space="preserve">Koriģētā vienības cena = </w:t>
      </w:r>
      <w:r w:rsidR="004437B4">
        <w:rPr>
          <w:b/>
          <w:bCs/>
        </w:rPr>
        <w:t>C</w:t>
      </w:r>
      <w:r w:rsidR="004437B4" w:rsidRPr="004437B4">
        <w:rPr>
          <w:b/>
          <w:bCs/>
          <w:vertAlign w:val="subscript"/>
        </w:rPr>
        <w:t>0</w:t>
      </w:r>
      <w:r w:rsidRPr="00F37AE5">
        <w:rPr>
          <w:b/>
          <w:bCs/>
        </w:rPr>
        <w:t xml:space="preserve"> + </w:t>
      </w:r>
      <w:proofErr w:type="spellStart"/>
      <w:r w:rsidRPr="00F37AE5">
        <w:rPr>
          <w:b/>
          <w:bCs/>
        </w:rPr>
        <w:t>K</w:t>
      </w:r>
      <w:r w:rsidRPr="00F37AE5">
        <w:rPr>
          <w:b/>
          <w:bCs/>
          <w:vertAlign w:val="subscript"/>
        </w:rPr>
        <w:t>b</w:t>
      </w:r>
      <w:r>
        <w:rPr>
          <w:b/>
          <w:bCs/>
          <w:vertAlign w:val="subscript"/>
        </w:rPr>
        <w:t>itumens</w:t>
      </w:r>
      <w:proofErr w:type="spellEnd"/>
      <w:r w:rsidRPr="00F37AE5">
        <w:rPr>
          <w:b/>
          <w:bCs/>
        </w:rPr>
        <w:t xml:space="preserve"> </w:t>
      </w:r>
    </w:p>
    <w:p w14:paraId="481AD372" w14:textId="4A696F26" w:rsidR="00F37AE5" w:rsidRDefault="004437B4" w:rsidP="00ED3254">
      <w:r>
        <w:t>K</w:t>
      </w:r>
      <w:r w:rsidR="00F37AE5" w:rsidRPr="00F37AE5">
        <w:t>ur</w:t>
      </w:r>
    </w:p>
    <w:p w14:paraId="478CFEEF" w14:textId="77777777" w:rsidR="004437B4" w:rsidRPr="004437B4" w:rsidRDefault="004437B4" w:rsidP="004437B4">
      <w:pPr>
        <w:jc w:val="left"/>
        <w:rPr>
          <w:i/>
          <w:iCs/>
          <w:sz w:val="20"/>
          <w:szCs w:val="20"/>
        </w:rPr>
      </w:pPr>
      <w:r w:rsidRPr="004437B4">
        <w:rPr>
          <w:b/>
          <w:bCs/>
          <w:i/>
          <w:iCs/>
          <w:sz w:val="20"/>
          <w:szCs w:val="20"/>
        </w:rPr>
        <w:t>C</w:t>
      </w:r>
      <w:r w:rsidRPr="004437B4">
        <w:rPr>
          <w:rFonts w:ascii="Cambria Math" w:hAnsi="Cambria Math" w:cs="Cambria Math"/>
          <w:b/>
          <w:bCs/>
          <w:i/>
          <w:iCs/>
          <w:sz w:val="20"/>
          <w:szCs w:val="20"/>
        </w:rPr>
        <w:t>₀</w:t>
      </w:r>
      <w:r w:rsidRPr="004437B4">
        <w:rPr>
          <w:i/>
          <w:iCs/>
          <w:sz w:val="20"/>
          <w:szCs w:val="20"/>
        </w:rPr>
        <w:t xml:space="preserve"> </w:t>
      </w:r>
      <w:r w:rsidRPr="004437B4">
        <w:rPr>
          <w:rFonts w:ascii="Arial" w:hAnsi="Arial" w:cs="Arial"/>
          <w:i/>
          <w:iCs/>
          <w:sz w:val="20"/>
          <w:szCs w:val="20"/>
        </w:rPr>
        <w:t>–</w:t>
      </w:r>
      <w:r w:rsidRPr="004437B4">
        <w:rPr>
          <w:i/>
          <w:iCs/>
          <w:sz w:val="20"/>
          <w:szCs w:val="20"/>
        </w:rPr>
        <w:t xml:space="preserve"> s</w:t>
      </w:r>
      <w:r w:rsidRPr="004437B4">
        <w:rPr>
          <w:rFonts w:ascii="Arial" w:hAnsi="Arial" w:cs="Arial"/>
          <w:i/>
          <w:iCs/>
          <w:sz w:val="20"/>
          <w:szCs w:val="20"/>
        </w:rPr>
        <w:t>ā</w:t>
      </w:r>
      <w:r w:rsidRPr="004437B4">
        <w:rPr>
          <w:i/>
          <w:iCs/>
          <w:sz w:val="20"/>
          <w:szCs w:val="20"/>
        </w:rPr>
        <w:t>kotn</w:t>
      </w:r>
      <w:r w:rsidRPr="004437B4">
        <w:rPr>
          <w:rFonts w:ascii="Arial" w:hAnsi="Arial" w:cs="Arial"/>
          <w:i/>
          <w:iCs/>
          <w:sz w:val="20"/>
          <w:szCs w:val="20"/>
        </w:rPr>
        <w:t>ē</w:t>
      </w:r>
      <w:r w:rsidRPr="004437B4">
        <w:rPr>
          <w:i/>
          <w:iCs/>
          <w:sz w:val="20"/>
          <w:szCs w:val="20"/>
        </w:rPr>
        <w:t>j</w:t>
      </w:r>
      <w:r w:rsidRPr="004437B4">
        <w:rPr>
          <w:rFonts w:ascii="Arial" w:hAnsi="Arial" w:cs="Arial"/>
          <w:i/>
          <w:iCs/>
          <w:sz w:val="20"/>
          <w:szCs w:val="20"/>
        </w:rPr>
        <w:t>ā</w:t>
      </w:r>
      <w:r w:rsidRPr="004437B4">
        <w:rPr>
          <w:i/>
          <w:iCs/>
          <w:sz w:val="20"/>
          <w:szCs w:val="20"/>
        </w:rPr>
        <w:t xml:space="preserve"> vien</w:t>
      </w:r>
      <w:r w:rsidRPr="004437B4">
        <w:rPr>
          <w:rFonts w:ascii="Arial" w:hAnsi="Arial" w:cs="Arial"/>
          <w:i/>
          <w:iCs/>
          <w:sz w:val="20"/>
          <w:szCs w:val="20"/>
        </w:rPr>
        <w:t>ī</w:t>
      </w:r>
      <w:r w:rsidRPr="004437B4">
        <w:rPr>
          <w:i/>
          <w:iCs/>
          <w:sz w:val="20"/>
          <w:szCs w:val="20"/>
        </w:rPr>
        <w:t>bas cena;</w:t>
      </w:r>
    </w:p>
    <w:p w14:paraId="371B752A" w14:textId="7B86CAC1" w:rsidR="00ED3254" w:rsidRPr="008E3182" w:rsidRDefault="00000000" w:rsidP="00ED3254">
      <m:oMath>
        <m:sSub>
          <m:sSubPr>
            <m:ctrlPr>
              <w:rPr>
                <w:rFonts w:ascii="Cambria Math" w:hAnsi="Cambria Math"/>
                <w:b/>
                <w:bCs/>
                <w:i/>
                <w:iCs/>
              </w:rPr>
            </m:ctrlPr>
          </m:sSubPr>
          <m:e>
            <m:r>
              <m:rPr>
                <m:sty m:val="bi"/>
              </m:rPr>
              <w:rPr>
                <w:rFonts w:ascii="Cambria Math" w:hAnsi="Cambria Math"/>
              </w:rPr>
              <m:t>K</m:t>
            </m:r>
          </m:e>
          <m:sub>
            <m:r>
              <m:rPr>
                <m:sty m:val="bi"/>
              </m:rPr>
              <w:rPr>
                <w:rFonts w:ascii="Cambria Math" w:hAnsi="Cambria Math"/>
              </w:rPr>
              <m:t>bitumens</m:t>
            </m:r>
          </m:sub>
        </m:sSub>
      </m:oMath>
      <w:r w:rsidR="00CA5781">
        <w:t xml:space="preserve"> – </w:t>
      </w:r>
      <w:r w:rsidR="00ED3254" w:rsidRPr="00CA5781">
        <w:rPr>
          <w:i/>
          <w:iCs/>
          <w:sz w:val="20"/>
          <w:szCs w:val="20"/>
        </w:rPr>
        <w:t>bitumena komponentes korekcija;</w:t>
      </w:r>
    </w:p>
    <w:p w14:paraId="1558396B" w14:textId="76F25AB9" w:rsidR="00ED3254" w:rsidRPr="008E3182" w:rsidRDefault="00ED3254" w:rsidP="00ED3254">
      <w:pPr>
        <w:pStyle w:val="Virsraksts2"/>
        <w:rPr>
          <w:lang w:eastAsia="en-GB"/>
        </w:rPr>
      </w:pPr>
      <w:r w:rsidRPr="008E3182">
        <w:t>Kopējā korekcijas summa</w:t>
      </w:r>
    </w:p>
    <w:p w14:paraId="749F6D39" w14:textId="77777777" w:rsidR="00ED3254" w:rsidRPr="008E3182" w:rsidRDefault="00ED3254" w:rsidP="00F822E8">
      <w:pPr>
        <w:pStyle w:val="Virsraksts3"/>
      </w:pPr>
      <w:r w:rsidRPr="008E3182">
        <w:rPr>
          <w:b/>
        </w:rPr>
        <w:t>Kopējā korekcijas summa</w:t>
      </w:r>
      <w:r w:rsidRPr="008E3182">
        <w:t xml:space="preserve"> par konkrēto darbu pozīciju attiecīgajā mēnesī aprēķināma, reizinot vienības cenas korekciju ar faktiski izpildīto un LVC pieņemto darbu apjomu.</w:t>
      </w:r>
    </w:p>
    <w:p w14:paraId="232E1C1E" w14:textId="77777777" w:rsidR="00ED3254" w:rsidRPr="008E3182" w:rsidRDefault="00ED3254" w:rsidP="00ED3254">
      <w:r w:rsidRPr="008E3182">
        <w:t>Formula:</w:t>
      </w:r>
    </w:p>
    <w:p w14:paraId="3ADB9151" w14:textId="6D49043D" w:rsidR="00CA5781" w:rsidRDefault="00000000" w:rsidP="009F3F64">
      <w:pPr>
        <w:jc w:val="center"/>
        <w:rPr>
          <w:b/>
          <w:bCs/>
        </w:rPr>
      </w:pPr>
      <m:oMathPara>
        <m:oMath>
          <m:sSub>
            <m:sSubPr>
              <m:ctrlPr>
                <w:rPr>
                  <w:rFonts w:ascii="Cambria Math" w:hAnsi="Cambria Math"/>
                  <w:b/>
                  <w:bCs/>
                  <w:i/>
                  <w:iCs/>
                </w:rPr>
              </m:ctrlPr>
            </m:sSubPr>
            <m:e>
              <m:r>
                <m:rPr>
                  <m:sty m:val="bi"/>
                </m:rPr>
                <w:rPr>
                  <w:rFonts w:ascii="Cambria Math" w:hAnsi="Cambria Math"/>
                </w:rPr>
                <m:t>S=K</m:t>
              </m:r>
            </m:e>
            <m:sub>
              <m:r>
                <m:rPr>
                  <m:sty m:val="bi"/>
                </m:rPr>
                <w:rPr>
                  <w:rFonts w:ascii="Cambria Math" w:hAnsi="Cambria Math"/>
                </w:rPr>
                <m:t>bitumens</m:t>
              </m:r>
            </m:sub>
          </m:sSub>
          <m:r>
            <m:rPr>
              <m:sty m:val="bi"/>
            </m:rPr>
            <w:rPr>
              <w:rFonts w:ascii="Cambria Math" w:hAnsi="Cambria Math"/>
            </w:rPr>
            <m:t>∙Q</m:t>
          </m:r>
        </m:oMath>
      </m:oMathPara>
    </w:p>
    <w:p w14:paraId="5980AAE8" w14:textId="1F179E69" w:rsidR="004437B4" w:rsidRDefault="004437B4" w:rsidP="004437B4">
      <w:pPr>
        <w:pStyle w:val="Virsraksts3"/>
        <w:numPr>
          <w:ilvl w:val="0"/>
          <w:numId w:val="0"/>
        </w:numPr>
      </w:pPr>
      <w:r>
        <w:t>kur</w:t>
      </w:r>
    </w:p>
    <w:p w14:paraId="3C3A1D6F" w14:textId="77777777" w:rsidR="004437B4" w:rsidRPr="004437B4" w:rsidRDefault="004437B4" w:rsidP="004437B4">
      <w:pPr>
        <w:pStyle w:val="Pamatteksts"/>
        <w:rPr>
          <w:i/>
          <w:iCs/>
          <w:sz w:val="20"/>
          <w:szCs w:val="20"/>
          <w:lang w:val="en-GB"/>
        </w:rPr>
      </w:pPr>
      <w:r w:rsidRPr="004437B4">
        <w:rPr>
          <w:b/>
          <w:bCs/>
          <w:i/>
          <w:iCs/>
          <w:sz w:val="20"/>
          <w:szCs w:val="20"/>
          <w:lang w:val="en-GB"/>
        </w:rPr>
        <w:t>S</w:t>
      </w:r>
      <w:r w:rsidRPr="004437B4">
        <w:rPr>
          <w:i/>
          <w:iCs/>
          <w:sz w:val="20"/>
          <w:szCs w:val="20"/>
          <w:lang w:val="en-GB"/>
        </w:rPr>
        <w:t xml:space="preserve"> – </w:t>
      </w:r>
      <w:proofErr w:type="spellStart"/>
      <w:r w:rsidRPr="004437B4">
        <w:rPr>
          <w:i/>
          <w:iCs/>
          <w:sz w:val="20"/>
          <w:szCs w:val="20"/>
          <w:lang w:val="en-GB"/>
        </w:rPr>
        <w:t>kopējā</w:t>
      </w:r>
      <w:proofErr w:type="spellEnd"/>
      <w:r w:rsidRPr="004437B4">
        <w:rPr>
          <w:i/>
          <w:iCs/>
          <w:sz w:val="20"/>
          <w:szCs w:val="20"/>
          <w:lang w:val="en-GB"/>
        </w:rPr>
        <w:t xml:space="preserve"> </w:t>
      </w:r>
      <w:proofErr w:type="spellStart"/>
      <w:r w:rsidRPr="004437B4">
        <w:rPr>
          <w:i/>
          <w:iCs/>
          <w:sz w:val="20"/>
          <w:szCs w:val="20"/>
          <w:lang w:val="en-GB"/>
        </w:rPr>
        <w:t>korekcijas</w:t>
      </w:r>
      <w:proofErr w:type="spellEnd"/>
      <w:r w:rsidRPr="004437B4">
        <w:rPr>
          <w:i/>
          <w:iCs/>
          <w:sz w:val="20"/>
          <w:szCs w:val="20"/>
          <w:lang w:val="en-GB"/>
        </w:rPr>
        <w:t xml:space="preserve"> summa par </w:t>
      </w:r>
      <w:proofErr w:type="spellStart"/>
      <w:r w:rsidRPr="004437B4">
        <w:rPr>
          <w:i/>
          <w:iCs/>
          <w:sz w:val="20"/>
          <w:szCs w:val="20"/>
          <w:lang w:val="en-GB"/>
        </w:rPr>
        <w:t>konkrēto</w:t>
      </w:r>
      <w:proofErr w:type="spellEnd"/>
      <w:r w:rsidRPr="004437B4">
        <w:rPr>
          <w:i/>
          <w:iCs/>
          <w:sz w:val="20"/>
          <w:szCs w:val="20"/>
          <w:lang w:val="en-GB"/>
        </w:rPr>
        <w:t xml:space="preserve"> </w:t>
      </w:r>
      <w:proofErr w:type="spellStart"/>
      <w:r w:rsidRPr="004437B4">
        <w:rPr>
          <w:i/>
          <w:iCs/>
          <w:sz w:val="20"/>
          <w:szCs w:val="20"/>
          <w:lang w:val="en-GB"/>
        </w:rPr>
        <w:t>darbu</w:t>
      </w:r>
      <w:proofErr w:type="spellEnd"/>
      <w:r w:rsidRPr="004437B4">
        <w:rPr>
          <w:i/>
          <w:iCs/>
          <w:sz w:val="20"/>
          <w:szCs w:val="20"/>
          <w:lang w:val="en-GB"/>
        </w:rPr>
        <w:t xml:space="preserve"> </w:t>
      </w:r>
      <w:proofErr w:type="spellStart"/>
      <w:r w:rsidRPr="004437B4">
        <w:rPr>
          <w:i/>
          <w:iCs/>
          <w:sz w:val="20"/>
          <w:szCs w:val="20"/>
          <w:lang w:val="en-GB"/>
        </w:rPr>
        <w:t>pozīciju</w:t>
      </w:r>
      <w:proofErr w:type="spellEnd"/>
      <w:r w:rsidRPr="004437B4">
        <w:rPr>
          <w:i/>
          <w:iCs/>
          <w:sz w:val="20"/>
          <w:szCs w:val="20"/>
          <w:lang w:val="en-GB"/>
        </w:rPr>
        <w:t xml:space="preserve"> </w:t>
      </w:r>
      <w:proofErr w:type="spellStart"/>
      <w:r w:rsidRPr="004437B4">
        <w:rPr>
          <w:i/>
          <w:iCs/>
          <w:sz w:val="20"/>
          <w:szCs w:val="20"/>
          <w:lang w:val="en-GB"/>
        </w:rPr>
        <w:t>attiecīgajā</w:t>
      </w:r>
      <w:proofErr w:type="spellEnd"/>
      <w:r w:rsidRPr="004437B4">
        <w:rPr>
          <w:i/>
          <w:iCs/>
          <w:sz w:val="20"/>
          <w:szCs w:val="20"/>
          <w:lang w:val="en-GB"/>
        </w:rPr>
        <w:t xml:space="preserve"> </w:t>
      </w:r>
      <w:proofErr w:type="spellStart"/>
      <w:r w:rsidRPr="004437B4">
        <w:rPr>
          <w:i/>
          <w:iCs/>
          <w:sz w:val="20"/>
          <w:szCs w:val="20"/>
          <w:lang w:val="en-GB"/>
        </w:rPr>
        <w:t>mēnesī</w:t>
      </w:r>
      <w:proofErr w:type="spellEnd"/>
      <w:r w:rsidRPr="004437B4">
        <w:rPr>
          <w:i/>
          <w:iCs/>
          <w:sz w:val="20"/>
          <w:szCs w:val="20"/>
          <w:lang w:val="en-GB"/>
        </w:rPr>
        <w:t>;</w:t>
      </w:r>
    </w:p>
    <w:p w14:paraId="1C880876" w14:textId="77777777" w:rsidR="004437B4" w:rsidRPr="004437B4" w:rsidRDefault="004437B4" w:rsidP="004437B4">
      <w:pPr>
        <w:pStyle w:val="Pamatteksts"/>
        <w:rPr>
          <w:i/>
          <w:iCs/>
          <w:sz w:val="20"/>
          <w:szCs w:val="20"/>
          <w:lang w:val="en-GB"/>
        </w:rPr>
      </w:pPr>
      <w:proofErr w:type="spellStart"/>
      <w:r w:rsidRPr="004437B4">
        <w:rPr>
          <w:b/>
          <w:bCs/>
          <w:i/>
          <w:iCs/>
          <w:sz w:val="20"/>
          <w:szCs w:val="20"/>
          <w:lang w:val="en-GB"/>
        </w:rPr>
        <w:t>K</w:t>
      </w:r>
      <w:r w:rsidRPr="00DA4955">
        <w:rPr>
          <w:b/>
          <w:bCs/>
          <w:i/>
          <w:iCs/>
          <w:sz w:val="20"/>
          <w:szCs w:val="20"/>
          <w:vertAlign w:val="subscript"/>
          <w:lang w:val="en-GB"/>
        </w:rPr>
        <w:t>bitumens</w:t>
      </w:r>
      <w:proofErr w:type="spellEnd"/>
      <w:r w:rsidRPr="004437B4">
        <w:rPr>
          <w:i/>
          <w:iCs/>
          <w:sz w:val="20"/>
          <w:szCs w:val="20"/>
          <w:lang w:val="en-GB"/>
        </w:rPr>
        <w:t xml:space="preserve"> – </w:t>
      </w:r>
      <w:proofErr w:type="spellStart"/>
      <w:r w:rsidRPr="004437B4">
        <w:rPr>
          <w:i/>
          <w:iCs/>
          <w:sz w:val="20"/>
          <w:szCs w:val="20"/>
          <w:lang w:val="en-GB"/>
        </w:rPr>
        <w:t>bitumena</w:t>
      </w:r>
      <w:proofErr w:type="spellEnd"/>
      <w:r w:rsidRPr="004437B4">
        <w:rPr>
          <w:i/>
          <w:iCs/>
          <w:sz w:val="20"/>
          <w:szCs w:val="20"/>
          <w:lang w:val="en-GB"/>
        </w:rPr>
        <w:t xml:space="preserve"> </w:t>
      </w:r>
      <w:proofErr w:type="spellStart"/>
      <w:r w:rsidRPr="004437B4">
        <w:rPr>
          <w:i/>
          <w:iCs/>
          <w:sz w:val="20"/>
          <w:szCs w:val="20"/>
          <w:lang w:val="en-GB"/>
        </w:rPr>
        <w:t>komponentes</w:t>
      </w:r>
      <w:proofErr w:type="spellEnd"/>
      <w:r w:rsidRPr="004437B4">
        <w:rPr>
          <w:i/>
          <w:iCs/>
          <w:sz w:val="20"/>
          <w:szCs w:val="20"/>
          <w:lang w:val="en-GB"/>
        </w:rPr>
        <w:t xml:space="preserve"> </w:t>
      </w:r>
      <w:proofErr w:type="spellStart"/>
      <w:r w:rsidRPr="004437B4">
        <w:rPr>
          <w:i/>
          <w:iCs/>
          <w:sz w:val="20"/>
          <w:szCs w:val="20"/>
          <w:lang w:val="en-GB"/>
        </w:rPr>
        <w:t>korekcija</w:t>
      </w:r>
      <w:proofErr w:type="spellEnd"/>
      <w:r w:rsidRPr="004437B4">
        <w:rPr>
          <w:i/>
          <w:iCs/>
          <w:sz w:val="20"/>
          <w:szCs w:val="20"/>
          <w:lang w:val="en-GB"/>
        </w:rPr>
        <w:t xml:space="preserve"> </w:t>
      </w:r>
      <w:proofErr w:type="spellStart"/>
      <w:r w:rsidRPr="004437B4">
        <w:rPr>
          <w:i/>
          <w:iCs/>
          <w:sz w:val="20"/>
          <w:szCs w:val="20"/>
          <w:lang w:val="en-GB"/>
        </w:rPr>
        <w:t>uz</w:t>
      </w:r>
      <w:proofErr w:type="spellEnd"/>
      <w:r w:rsidRPr="004437B4">
        <w:rPr>
          <w:i/>
          <w:iCs/>
          <w:sz w:val="20"/>
          <w:szCs w:val="20"/>
          <w:lang w:val="en-GB"/>
        </w:rPr>
        <w:t xml:space="preserve"> </w:t>
      </w:r>
      <w:proofErr w:type="spellStart"/>
      <w:r w:rsidRPr="004437B4">
        <w:rPr>
          <w:i/>
          <w:iCs/>
          <w:sz w:val="20"/>
          <w:szCs w:val="20"/>
          <w:lang w:val="en-GB"/>
        </w:rPr>
        <w:t>vienu</w:t>
      </w:r>
      <w:proofErr w:type="spellEnd"/>
      <w:r w:rsidRPr="004437B4">
        <w:rPr>
          <w:i/>
          <w:iCs/>
          <w:sz w:val="20"/>
          <w:szCs w:val="20"/>
          <w:lang w:val="en-GB"/>
        </w:rPr>
        <w:t xml:space="preserve"> </w:t>
      </w:r>
      <w:proofErr w:type="spellStart"/>
      <w:r w:rsidRPr="004437B4">
        <w:rPr>
          <w:i/>
          <w:iCs/>
          <w:sz w:val="20"/>
          <w:szCs w:val="20"/>
          <w:lang w:val="en-GB"/>
        </w:rPr>
        <w:t>darbu</w:t>
      </w:r>
      <w:proofErr w:type="spellEnd"/>
      <w:r w:rsidRPr="004437B4">
        <w:rPr>
          <w:i/>
          <w:iCs/>
          <w:sz w:val="20"/>
          <w:szCs w:val="20"/>
          <w:lang w:val="en-GB"/>
        </w:rPr>
        <w:t xml:space="preserve"> </w:t>
      </w:r>
      <w:proofErr w:type="spellStart"/>
      <w:r w:rsidRPr="004437B4">
        <w:rPr>
          <w:i/>
          <w:iCs/>
          <w:sz w:val="20"/>
          <w:szCs w:val="20"/>
          <w:lang w:val="en-GB"/>
        </w:rPr>
        <w:t>pozīcijas</w:t>
      </w:r>
      <w:proofErr w:type="spellEnd"/>
      <w:r w:rsidRPr="004437B4">
        <w:rPr>
          <w:i/>
          <w:iCs/>
          <w:sz w:val="20"/>
          <w:szCs w:val="20"/>
          <w:lang w:val="en-GB"/>
        </w:rPr>
        <w:t xml:space="preserve"> </w:t>
      </w:r>
      <w:proofErr w:type="spellStart"/>
      <w:r w:rsidRPr="004437B4">
        <w:rPr>
          <w:i/>
          <w:iCs/>
          <w:sz w:val="20"/>
          <w:szCs w:val="20"/>
          <w:lang w:val="en-GB"/>
        </w:rPr>
        <w:t>mērvienību</w:t>
      </w:r>
      <w:proofErr w:type="spellEnd"/>
      <w:r w:rsidRPr="004437B4">
        <w:rPr>
          <w:i/>
          <w:iCs/>
          <w:sz w:val="20"/>
          <w:szCs w:val="20"/>
          <w:lang w:val="en-GB"/>
        </w:rPr>
        <w:t>;</w:t>
      </w:r>
    </w:p>
    <w:p w14:paraId="48E0D00A" w14:textId="77777777" w:rsidR="004437B4" w:rsidRPr="004437B4" w:rsidRDefault="004437B4" w:rsidP="004437B4">
      <w:pPr>
        <w:pStyle w:val="Pamatteksts"/>
        <w:rPr>
          <w:i/>
          <w:iCs/>
          <w:sz w:val="20"/>
          <w:szCs w:val="20"/>
          <w:lang w:val="en-GB"/>
        </w:rPr>
      </w:pPr>
      <w:r w:rsidRPr="004437B4">
        <w:rPr>
          <w:b/>
          <w:bCs/>
          <w:i/>
          <w:iCs/>
          <w:sz w:val="20"/>
          <w:szCs w:val="20"/>
          <w:lang w:val="en-GB"/>
        </w:rPr>
        <w:t>Q</w:t>
      </w:r>
      <w:r w:rsidRPr="004437B4">
        <w:rPr>
          <w:i/>
          <w:iCs/>
          <w:sz w:val="20"/>
          <w:szCs w:val="20"/>
          <w:lang w:val="en-GB"/>
        </w:rPr>
        <w:t xml:space="preserve"> – </w:t>
      </w:r>
      <w:proofErr w:type="spellStart"/>
      <w:r w:rsidRPr="004437B4">
        <w:rPr>
          <w:i/>
          <w:iCs/>
          <w:sz w:val="20"/>
          <w:szCs w:val="20"/>
          <w:lang w:val="en-GB"/>
        </w:rPr>
        <w:t>faktiski</w:t>
      </w:r>
      <w:proofErr w:type="spellEnd"/>
      <w:r w:rsidRPr="004437B4">
        <w:rPr>
          <w:i/>
          <w:iCs/>
          <w:sz w:val="20"/>
          <w:szCs w:val="20"/>
          <w:lang w:val="en-GB"/>
        </w:rPr>
        <w:t xml:space="preserve"> </w:t>
      </w:r>
      <w:proofErr w:type="spellStart"/>
      <w:r w:rsidRPr="004437B4">
        <w:rPr>
          <w:i/>
          <w:iCs/>
          <w:sz w:val="20"/>
          <w:szCs w:val="20"/>
          <w:lang w:val="en-GB"/>
        </w:rPr>
        <w:t>izpildītais</w:t>
      </w:r>
      <w:proofErr w:type="spellEnd"/>
      <w:r w:rsidRPr="004437B4">
        <w:rPr>
          <w:i/>
          <w:iCs/>
          <w:sz w:val="20"/>
          <w:szCs w:val="20"/>
          <w:lang w:val="en-GB"/>
        </w:rPr>
        <w:t xml:space="preserve"> un LVC </w:t>
      </w:r>
      <w:proofErr w:type="spellStart"/>
      <w:r w:rsidRPr="004437B4">
        <w:rPr>
          <w:i/>
          <w:iCs/>
          <w:sz w:val="20"/>
          <w:szCs w:val="20"/>
          <w:lang w:val="en-GB"/>
        </w:rPr>
        <w:t>pieņemtais</w:t>
      </w:r>
      <w:proofErr w:type="spellEnd"/>
      <w:r w:rsidRPr="004437B4">
        <w:rPr>
          <w:i/>
          <w:iCs/>
          <w:sz w:val="20"/>
          <w:szCs w:val="20"/>
          <w:lang w:val="en-GB"/>
        </w:rPr>
        <w:t xml:space="preserve"> </w:t>
      </w:r>
      <w:proofErr w:type="spellStart"/>
      <w:r w:rsidRPr="004437B4">
        <w:rPr>
          <w:i/>
          <w:iCs/>
          <w:sz w:val="20"/>
          <w:szCs w:val="20"/>
          <w:lang w:val="en-GB"/>
        </w:rPr>
        <w:t>darbu</w:t>
      </w:r>
      <w:proofErr w:type="spellEnd"/>
      <w:r w:rsidRPr="004437B4">
        <w:rPr>
          <w:i/>
          <w:iCs/>
          <w:sz w:val="20"/>
          <w:szCs w:val="20"/>
          <w:lang w:val="en-GB"/>
        </w:rPr>
        <w:t xml:space="preserve"> </w:t>
      </w:r>
      <w:proofErr w:type="spellStart"/>
      <w:r w:rsidRPr="004437B4">
        <w:rPr>
          <w:i/>
          <w:iCs/>
          <w:sz w:val="20"/>
          <w:szCs w:val="20"/>
          <w:lang w:val="en-GB"/>
        </w:rPr>
        <w:t>apjoms</w:t>
      </w:r>
      <w:proofErr w:type="spellEnd"/>
      <w:r w:rsidRPr="004437B4">
        <w:rPr>
          <w:i/>
          <w:iCs/>
          <w:sz w:val="20"/>
          <w:szCs w:val="20"/>
          <w:lang w:val="en-GB"/>
        </w:rPr>
        <w:t xml:space="preserve"> </w:t>
      </w:r>
      <w:proofErr w:type="spellStart"/>
      <w:r w:rsidRPr="004437B4">
        <w:rPr>
          <w:i/>
          <w:iCs/>
          <w:sz w:val="20"/>
          <w:szCs w:val="20"/>
          <w:lang w:val="en-GB"/>
        </w:rPr>
        <w:t>attiecīgajā</w:t>
      </w:r>
      <w:proofErr w:type="spellEnd"/>
      <w:r w:rsidRPr="004437B4">
        <w:rPr>
          <w:i/>
          <w:iCs/>
          <w:sz w:val="20"/>
          <w:szCs w:val="20"/>
          <w:lang w:val="en-GB"/>
        </w:rPr>
        <w:t xml:space="preserve"> </w:t>
      </w:r>
      <w:proofErr w:type="spellStart"/>
      <w:r w:rsidRPr="004437B4">
        <w:rPr>
          <w:i/>
          <w:iCs/>
          <w:sz w:val="20"/>
          <w:szCs w:val="20"/>
          <w:lang w:val="en-GB"/>
        </w:rPr>
        <w:t>mēnesī</w:t>
      </w:r>
      <w:proofErr w:type="spellEnd"/>
      <w:r w:rsidRPr="004437B4">
        <w:rPr>
          <w:i/>
          <w:iCs/>
          <w:sz w:val="20"/>
          <w:szCs w:val="20"/>
          <w:lang w:val="en-GB"/>
        </w:rPr>
        <w:t>.</w:t>
      </w:r>
    </w:p>
    <w:p w14:paraId="34870CD8" w14:textId="77777777" w:rsidR="00ED3254" w:rsidRPr="008E3182" w:rsidRDefault="00ED3254" w:rsidP="00F822E8">
      <w:pPr>
        <w:pStyle w:val="Virsraksts3"/>
      </w:pPr>
      <w:r w:rsidRPr="008E3182">
        <w:t>Ja darbi veikti vairākos mēnešos, aprēķins veicams katram mēnesim atsevišķi un pēc tam summējams:</w:t>
      </w:r>
    </w:p>
    <w:p w14:paraId="00580E84" w14:textId="699EF286" w:rsidR="00CA5781" w:rsidRDefault="00000000" w:rsidP="009F3F64">
      <w:pPr>
        <w:jc w:val="center"/>
        <w:rPr>
          <w:b/>
          <w:bCs/>
        </w:rPr>
      </w:pPr>
      <m:oMathPara>
        <m:oMath>
          <m:sSub>
            <m:sSubPr>
              <m:ctrlPr>
                <w:rPr>
                  <w:rFonts w:ascii="Cambria Math" w:hAnsi="Cambria Math"/>
                  <w:b/>
                  <w:bCs/>
                  <w:i/>
                  <w:iCs/>
                </w:rPr>
              </m:ctrlPr>
            </m:sSubPr>
            <m:e>
              <m:r>
                <m:rPr>
                  <m:sty m:val="bi"/>
                </m:rPr>
                <w:rPr>
                  <w:rFonts w:ascii="Cambria Math" w:hAnsi="Cambria Math"/>
                </w:rPr>
                <m:t>S</m:t>
              </m:r>
            </m:e>
            <m:sub>
              <m:r>
                <m:rPr>
                  <m:sty m:val="bi"/>
                </m:rPr>
                <w:rPr>
                  <w:rFonts w:ascii="Cambria Math" w:hAnsi="Cambria Math"/>
                </w:rPr>
                <m:t>kopā</m:t>
              </m:r>
            </m:sub>
          </m:sSub>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S</m:t>
              </m:r>
            </m:e>
            <m:sub>
              <m:r>
                <m:rPr>
                  <m:sty m:val="bi"/>
                </m:rPr>
                <w:rPr>
                  <w:rFonts w:ascii="Cambria Math" w:hAnsi="Cambria Math"/>
                </w:rPr>
                <m:t>mēn.1</m:t>
              </m:r>
            </m:sub>
          </m:sSub>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S</m:t>
              </m:r>
            </m:e>
            <m:sub>
              <m:r>
                <m:rPr>
                  <m:sty m:val="bi"/>
                </m:rPr>
                <w:rPr>
                  <w:rFonts w:ascii="Cambria Math" w:hAnsi="Cambria Math"/>
                </w:rPr>
                <m:t>mēn.2</m:t>
              </m:r>
            </m:sub>
          </m:sSub>
          <m:sSub>
            <m:sSubPr>
              <m:ctrlPr>
                <w:rPr>
                  <w:rFonts w:ascii="Cambria Math" w:hAnsi="Cambria Math"/>
                  <w:b/>
                  <w:bCs/>
                  <w:i/>
                  <w:iCs/>
                </w:rPr>
              </m:ctrlPr>
            </m:sSubPr>
            <m:e>
              <m:r>
                <m:rPr>
                  <m:sty m:val="bi"/>
                </m:rPr>
                <w:rPr>
                  <w:rFonts w:ascii="Cambria Math" w:hAnsi="Cambria Math"/>
                </w:rPr>
                <m:t>+S</m:t>
              </m:r>
            </m:e>
            <m:sub>
              <m:r>
                <m:rPr>
                  <m:sty m:val="bi"/>
                </m:rPr>
                <w:rPr>
                  <w:rFonts w:ascii="Cambria Math" w:hAnsi="Cambria Math"/>
                </w:rPr>
                <m:t>mēn.3</m:t>
              </m:r>
            </m:sub>
          </m:sSub>
          <m:r>
            <m:rPr>
              <m:sty m:val="bi"/>
            </m:rPr>
            <w:rPr>
              <w:rFonts w:ascii="Cambria Math" w:hAnsi="Cambria Math"/>
            </w:rPr>
            <m:t>+</m:t>
          </m:r>
          <m:d>
            <m:dPr>
              <m:ctrlPr>
                <w:rPr>
                  <w:rFonts w:ascii="Cambria Math" w:hAnsi="Cambria Math"/>
                  <w:b/>
                  <w:bCs/>
                  <w:i/>
                  <w:iCs/>
                </w:rPr>
              </m:ctrlPr>
            </m:dPr>
            <m:e>
              <m:r>
                <m:rPr>
                  <m:sty m:val="bi"/>
                </m:rPr>
                <w:rPr>
                  <w:rFonts w:ascii="Cambria Math" w:hAnsi="Cambria Math"/>
                </w:rPr>
                <m:t>...</m:t>
              </m:r>
            </m:e>
          </m:d>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S</m:t>
              </m:r>
            </m:e>
            <m:sub>
              <m:r>
                <m:rPr>
                  <m:sty m:val="bi"/>
                </m:rPr>
                <w:rPr>
                  <w:rFonts w:ascii="Cambria Math" w:hAnsi="Cambria Math"/>
                </w:rPr>
                <m:t>pēdējais mēnesis</m:t>
              </m:r>
            </m:sub>
          </m:sSub>
        </m:oMath>
      </m:oMathPara>
    </w:p>
    <w:p w14:paraId="14B503A7" w14:textId="0CB33097" w:rsidR="00ED3254" w:rsidRPr="008E3182" w:rsidRDefault="00ED3254" w:rsidP="00ED3254">
      <w:pPr>
        <w:pStyle w:val="Virsraksts2"/>
        <w:rPr>
          <w:lang w:eastAsia="en-GB"/>
        </w:rPr>
      </w:pPr>
      <w:r w:rsidRPr="008E3182">
        <w:t>Simetriska korekcija cenu samazinājuma gadījumā</w:t>
      </w:r>
    </w:p>
    <w:p w14:paraId="7F59DD94" w14:textId="2393B417" w:rsidR="00ED3254" w:rsidRPr="008E3182" w:rsidRDefault="004437B4" w:rsidP="00F822E8">
      <w:pPr>
        <w:pStyle w:val="Virsraksts3"/>
      </w:pPr>
      <w:r w:rsidRPr="004437B4">
        <w:t>Mehānismam jādarbojas abos virzienos. Ja bitumena cena pārsniedz salīdzināmo līmeni, korekcija var palielināt attiecīgo vienības cenu. Savukārt, ja attiecīgie cenu rādītāji samazinās zem salīdzināmā līmeņa, korekcija piemērojama arī pasūtītāja labā, samazinot attiecīgo vienības cenu.</w:t>
      </w:r>
    </w:p>
    <w:p w14:paraId="359674A5" w14:textId="77777777" w:rsidR="00ED3254" w:rsidRPr="008E3182" w:rsidRDefault="00ED3254" w:rsidP="00F822E8">
      <w:pPr>
        <w:pStyle w:val="Virsraksts3"/>
      </w:pPr>
      <w:r w:rsidRPr="008E3182">
        <w:t>Bitumena gadījumā samazinājuma korekcija aprēķināma pēc tās pašas formulas:</w:t>
      </w:r>
    </w:p>
    <w:p w14:paraId="6805BDC6" w14:textId="2D0D4E26" w:rsidR="00ED3254" w:rsidRPr="008E3182" w:rsidRDefault="00CA5781" w:rsidP="009F3F64">
      <w:pPr>
        <w:jc w:val="center"/>
        <w:rPr>
          <w:b/>
          <w:bCs/>
        </w:rPr>
      </w:pPr>
      <m:oMathPara>
        <m:oMath>
          <m:r>
            <m:rPr>
              <m:sty m:val="bi"/>
            </m:rPr>
            <w:rPr>
              <w:rFonts w:ascii="Cambria Math" w:hAnsi="Cambria Math"/>
            </w:rPr>
            <m:t>Δ</m:t>
          </m:r>
          <m:r>
            <m:rPr>
              <m:sty m:val="bi"/>
            </m:rPr>
            <w:rPr>
              <w:rFonts w:ascii="Cambria Math"/>
            </w:rPr>
            <m:t xml:space="preserve">P= </m:t>
          </m:r>
          <m:sSub>
            <m:sSubPr>
              <m:ctrlPr>
                <w:rPr>
                  <w:rFonts w:ascii="Cambria Math" w:hAnsi="Cambria Math"/>
                  <w:b/>
                  <w:bCs/>
                  <w:i/>
                  <w:iCs/>
                </w:rPr>
              </m:ctrlPr>
            </m:sSubPr>
            <m:e>
              <m:r>
                <m:rPr>
                  <m:sty m:val="bi"/>
                </m:rPr>
                <w:rPr>
                  <w:rFonts w:ascii="Cambria Math"/>
                </w:rPr>
                <m:t>P</m:t>
              </m:r>
            </m:e>
            <m:sub>
              <m:r>
                <m:rPr>
                  <m:sty m:val="bi"/>
                </m:rPr>
                <w:rPr>
                  <w:rFonts w:ascii="Cambria Math"/>
                </w:rPr>
                <m:t>1</m:t>
              </m:r>
            </m:sub>
          </m:sSub>
          <m:r>
            <m:rPr>
              <m:sty m:val="bi"/>
            </m:rPr>
            <w:rPr>
              <w:rFonts w:ascii="Cambria Math"/>
            </w:rPr>
            <m:t>-</m:t>
          </m:r>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0</m:t>
              </m:r>
            </m:sub>
          </m:sSub>
          <m:r>
            <m:rPr>
              <m:sty m:val="bi"/>
            </m:rPr>
            <w:rPr>
              <w:rFonts w:ascii="Cambria Math" w:hAnsi="Cambria Math"/>
            </w:rPr>
            <m:t xml:space="preserve">∙(1+E) </m:t>
          </m:r>
        </m:oMath>
      </m:oMathPara>
    </w:p>
    <w:p w14:paraId="3F4E3AFB" w14:textId="7CE468CC" w:rsidR="00ED3254" w:rsidRPr="008E3182" w:rsidRDefault="00ED3254" w:rsidP="00F822E8">
      <w:pPr>
        <w:pStyle w:val="Virsraksts3"/>
      </w:pPr>
      <w:r w:rsidRPr="008E3182">
        <w:lastRenderedPageBreak/>
        <w:t xml:space="preserve">Ja </w:t>
      </w:r>
      <m:oMath>
        <m:r>
          <m:rPr>
            <m:sty m:val="bi"/>
          </m:rPr>
          <w:rPr>
            <w:rFonts w:ascii="Cambria Math" w:hAnsi="Cambria Math"/>
          </w:rPr>
          <m:t>Δ</m:t>
        </m:r>
        <m:r>
          <m:rPr>
            <m:sty m:val="bi"/>
          </m:rPr>
          <w:rPr>
            <w:rFonts w:ascii="Cambria Math"/>
          </w:rPr>
          <m:t>P&lt;0</m:t>
        </m:r>
      </m:oMath>
      <w:r w:rsidRPr="008E3182">
        <w:t>, šī negatīvā vērtība tiek piemērota vienības cenas samazināšanai:</w:t>
      </w:r>
    </w:p>
    <w:p w14:paraId="37399829" w14:textId="341611A2" w:rsidR="00ED3254" w:rsidRPr="008E3182" w:rsidRDefault="00000000" w:rsidP="009F3F64">
      <w:pPr>
        <w:jc w:val="center"/>
        <w:rPr>
          <w:b/>
          <w:bCs/>
        </w:rPr>
      </w:pPr>
      <m:oMathPara>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bitumens</m:t>
              </m:r>
            </m:sub>
          </m:sSub>
          <m:r>
            <m:rPr>
              <m:sty m:val="bi"/>
            </m:rPr>
            <w:rPr>
              <w:rFonts w:ascii="Cambria Math" w:hAnsi="Cambria Math"/>
            </w:rPr>
            <m:t>=Δ</m:t>
          </m:r>
          <m:r>
            <m:rPr>
              <m:sty m:val="bi"/>
            </m:rPr>
            <w:rPr>
              <w:rFonts w:ascii="Cambria Math"/>
            </w:rPr>
            <m:t>P</m:t>
          </m:r>
          <m:r>
            <m:rPr>
              <m:sty m:val="bi"/>
            </m:rPr>
            <w:rPr>
              <w:rFonts w:ascii="Cambria Math" w:hAnsi="Cambria Math"/>
            </w:rPr>
            <m:t>∙</m:t>
          </m:r>
          <m:r>
            <m:rPr>
              <m:sty m:val="bi"/>
            </m:rPr>
            <w:rPr>
              <w:rFonts w:ascii="Cambria Math"/>
            </w:rPr>
            <m:t>B</m:t>
          </m:r>
        </m:oMath>
      </m:oMathPara>
    </w:p>
    <w:p w14:paraId="77C17AEF" w14:textId="2849B30D" w:rsidR="00233590" w:rsidRPr="00233590" w:rsidRDefault="00ED3254" w:rsidP="00415BF3">
      <w:pPr>
        <w:pStyle w:val="Virsraksts3"/>
      </w:pPr>
      <w:r w:rsidRPr="008E3182">
        <w:t>Tādējādi nav nepieciešama atsevišķa formula cenu samazinājumam. Tā pati formula darbojas abos virzienos.</w:t>
      </w:r>
      <w:r w:rsidR="00E30755">
        <w:t xml:space="preserve"> </w:t>
      </w:r>
      <w:r w:rsidR="00233590" w:rsidRPr="00233590">
        <w:t>Šāda pieeja nodrošina, ka cenu pieauguma un cenu samazinājuma gadījumā tiek izmantots viens un tas pats salīdzināšanas princips un nav nepieciešama atsevišķa formula cenu samazinājumam.</w:t>
      </w:r>
    </w:p>
    <w:p w14:paraId="4B188722" w14:textId="26618008" w:rsidR="00ED3254" w:rsidRPr="008E3182" w:rsidRDefault="00ED3254" w:rsidP="00ED3254">
      <w:pPr>
        <w:pStyle w:val="Virsraksts2"/>
        <w:rPr>
          <w:lang w:eastAsia="en-GB"/>
        </w:rPr>
      </w:pPr>
      <w:r w:rsidRPr="008E3182">
        <w:t>Norēķinu periods</w:t>
      </w:r>
    </w:p>
    <w:p w14:paraId="0B8F59AC" w14:textId="2E66C062" w:rsidR="00652E73" w:rsidRDefault="00060662" w:rsidP="008E67FC">
      <w:pPr>
        <w:pStyle w:val="Virsraksts3"/>
      </w:pPr>
      <w:r>
        <w:t>Indeksācijas</w:t>
      </w:r>
      <w:r w:rsidRPr="008E3182">
        <w:t xml:space="preserve"> </w:t>
      </w:r>
      <w:r w:rsidR="00652E73" w:rsidRPr="00652E73">
        <w:t>korekcijas aprēķins veicams mēneša griezumā, attiecīgajā mēnesī faktiski izpildītajiem un LVC pieņemtajiem darbiem piemērojot šī paša mēneša Mažeiķu bitumena cenu.</w:t>
      </w:r>
    </w:p>
    <w:p w14:paraId="651014D9" w14:textId="36EF2E18" w:rsidR="00060662" w:rsidRDefault="00060662" w:rsidP="008E67FC">
      <w:pPr>
        <w:pStyle w:val="Virsraksts3"/>
      </w:pPr>
      <w:r>
        <w:t xml:space="preserve">Bitumena korekcijas vajadzībām </w:t>
      </w:r>
      <w:r w:rsidR="00652E73">
        <w:t>piemērošana mēnešu griezumā</w:t>
      </w:r>
      <w:r>
        <w:t xml:space="preserve"> nepieciešam</w:t>
      </w:r>
      <w:r w:rsidR="00652E73">
        <w:t>a</w:t>
      </w:r>
      <w:r>
        <w:t xml:space="preserve"> tādēļ, ka</w:t>
      </w:r>
      <w:r w:rsidR="00ED3254" w:rsidRPr="008E3182">
        <w:t xml:space="preserve"> bitumena cena 2026. gada periodā mainījās strauji un sezonas vai gada vidējā cena var neatspoguļot faktiskās izmaksas darbu izpildes brīdī.</w:t>
      </w:r>
      <w:r w:rsidR="00CA5781">
        <w:t xml:space="preserve"> </w:t>
      </w:r>
    </w:p>
    <w:p w14:paraId="40852BAF" w14:textId="03F4E55F" w:rsidR="00CA5781" w:rsidRDefault="00ED3254" w:rsidP="008E67FC">
      <w:pPr>
        <w:pStyle w:val="Virsraksts3"/>
      </w:pPr>
      <w:r w:rsidRPr="008E3182">
        <w:t>Ieteicamais praktiskais modelis</w:t>
      </w:r>
      <w:r w:rsidR="00CA5781">
        <w:t xml:space="preserve"> aprakstīts </w:t>
      </w:r>
      <w:r w:rsidR="008E67FC">
        <w:t>zemāk t</w:t>
      </w:r>
      <w:r w:rsidR="00CA5781">
        <w:t>abulā.</w:t>
      </w:r>
    </w:p>
    <w:p w14:paraId="0BD9DA9D" w14:textId="43A00649" w:rsidR="008E67FC" w:rsidRPr="008E3182" w:rsidRDefault="008E67FC" w:rsidP="008E67FC">
      <w:pPr>
        <w:pStyle w:val="Parakstszemobjekta"/>
        <w:keepLines/>
        <w:spacing w:before="100" w:after="60"/>
      </w:pPr>
      <w:r>
        <w:t xml:space="preserve">Tabula </w:t>
      </w:r>
      <w:r w:rsidR="00A807E0">
        <w:t>5</w:t>
      </w:r>
      <w:r>
        <w:t>: Ieteicamais indeksācijas modelis</w:t>
      </w:r>
    </w:p>
    <w:tbl>
      <w:tblPr>
        <w:tblStyle w:val="KPMGFinancialTable"/>
        <w:tblW w:w="0" w:type="auto"/>
        <w:tblLook w:val="04A0" w:firstRow="1" w:lastRow="0" w:firstColumn="1" w:lastColumn="0" w:noHBand="0" w:noVBand="1"/>
      </w:tblPr>
      <w:tblGrid>
        <w:gridCol w:w="4252"/>
        <w:gridCol w:w="4253"/>
      </w:tblGrid>
      <w:tr w:rsidR="009F3F64" w:rsidRPr="008E3182" w14:paraId="297DD2C3" w14:textId="77777777" w:rsidTr="00AA6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2" w:type="dxa"/>
            <w:vAlign w:val="center"/>
          </w:tcPr>
          <w:p w14:paraId="4952E857" w14:textId="60A4B0DF" w:rsidR="009F3F64" w:rsidRPr="008E3182" w:rsidRDefault="009F3F64" w:rsidP="00CE351E">
            <w:pPr>
              <w:keepLines/>
              <w:spacing w:after="40"/>
            </w:pPr>
            <w:r w:rsidRPr="008E3182">
              <w:t>Elements</w:t>
            </w:r>
          </w:p>
        </w:tc>
        <w:tc>
          <w:tcPr>
            <w:tcW w:w="4253" w:type="dxa"/>
            <w:vAlign w:val="center"/>
          </w:tcPr>
          <w:p w14:paraId="0CA8241B" w14:textId="29225765" w:rsidR="009F3F64" w:rsidRPr="008E3182" w:rsidRDefault="009F3F64" w:rsidP="00CE351E">
            <w:pPr>
              <w:keepLines/>
              <w:spacing w:after="40"/>
              <w:cnfStyle w:val="100000000000" w:firstRow="1" w:lastRow="0" w:firstColumn="0" w:lastColumn="0" w:oddVBand="0" w:evenVBand="0" w:oddHBand="0" w:evenHBand="0" w:firstRowFirstColumn="0" w:firstRowLastColumn="0" w:lastRowFirstColumn="0" w:lastRowLastColumn="0"/>
            </w:pPr>
            <w:r w:rsidRPr="008E3182">
              <w:t>Pieeja</w:t>
            </w:r>
          </w:p>
        </w:tc>
      </w:tr>
      <w:tr w:rsidR="009F3F64" w:rsidRPr="008E3182" w14:paraId="6CC8329B" w14:textId="77777777" w:rsidTr="00AA66D2">
        <w:tc>
          <w:tcPr>
            <w:cnfStyle w:val="001000000000" w:firstRow="0" w:lastRow="0" w:firstColumn="1" w:lastColumn="0" w:oddVBand="0" w:evenVBand="0" w:oddHBand="0" w:evenHBand="0" w:firstRowFirstColumn="0" w:firstRowLastColumn="0" w:lastRowFirstColumn="0" w:lastRowLastColumn="0"/>
            <w:tcW w:w="4252" w:type="dxa"/>
            <w:vAlign w:val="center"/>
          </w:tcPr>
          <w:p w14:paraId="5B0B4A18" w14:textId="257F8540" w:rsidR="009F3F64" w:rsidRPr="008E3182" w:rsidRDefault="009F3F64" w:rsidP="00CE351E">
            <w:pPr>
              <w:keepLines/>
              <w:spacing w:after="40"/>
            </w:pPr>
            <w:r w:rsidRPr="008E3182">
              <w:t>Bitumena cenu dati</w:t>
            </w:r>
          </w:p>
        </w:tc>
        <w:tc>
          <w:tcPr>
            <w:tcW w:w="4253" w:type="dxa"/>
            <w:vAlign w:val="center"/>
          </w:tcPr>
          <w:p w14:paraId="5B2670F4" w14:textId="2827ADA3" w:rsidR="009F3F64" w:rsidRPr="008E3182" w:rsidRDefault="009F3F64" w:rsidP="00CE351E">
            <w:pPr>
              <w:keepLines/>
              <w:spacing w:after="40"/>
              <w:cnfStyle w:val="000000000000" w:firstRow="0" w:lastRow="0" w:firstColumn="0" w:lastColumn="0" w:oddVBand="0" w:evenVBand="0" w:oddHBand="0" w:evenHBand="0" w:firstRowFirstColumn="0" w:firstRowLastColumn="0" w:lastRowFirstColumn="0" w:lastRowLastColumn="0"/>
            </w:pPr>
            <w:r w:rsidRPr="008E3182">
              <w:t>attiecīgā mēneša Mažeiķu bitumena vidējā cena</w:t>
            </w:r>
          </w:p>
        </w:tc>
      </w:tr>
      <w:tr w:rsidR="009F3F64" w:rsidRPr="008E3182" w14:paraId="76E23FFD" w14:textId="77777777" w:rsidTr="00AA66D2">
        <w:tc>
          <w:tcPr>
            <w:cnfStyle w:val="001000000000" w:firstRow="0" w:lastRow="0" w:firstColumn="1" w:lastColumn="0" w:oddVBand="0" w:evenVBand="0" w:oddHBand="0" w:evenHBand="0" w:firstRowFirstColumn="0" w:firstRowLastColumn="0" w:lastRowFirstColumn="0" w:lastRowLastColumn="0"/>
            <w:tcW w:w="4252" w:type="dxa"/>
            <w:vAlign w:val="center"/>
          </w:tcPr>
          <w:p w14:paraId="5D884EEE" w14:textId="372976B2" w:rsidR="009F3F64" w:rsidRPr="008E3182" w:rsidRDefault="009F3F64" w:rsidP="00CE351E">
            <w:pPr>
              <w:keepLines/>
              <w:spacing w:after="40"/>
            </w:pPr>
            <w:r w:rsidRPr="008E3182">
              <w:t>Izpildes dati</w:t>
            </w:r>
          </w:p>
        </w:tc>
        <w:tc>
          <w:tcPr>
            <w:tcW w:w="4253" w:type="dxa"/>
            <w:vAlign w:val="center"/>
          </w:tcPr>
          <w:p w14:paraId="5148F4C0" w14:textId="4CBB58BD" w:rsidR="009F3F64" w:rsidRPr="008E3182" w:rsidRDefault="009F3F64" w:rsidP="00CE351E">
            <w:pPr>
              <w:keepLines/>
              <w:spacing w:after="40"/>
              <w:cnfStyle w:val="000000000000" w:firstRow="0" w:lastRow="0" w:firstColumn="0" w:lastColumn="0" w:oddVBand="0" w:evenVBand="0" w:oddHBand="0" w:evenHBand="0" w:firstRowFirstColumn="0" w:firstRowLastColumn="0" w:lastRowFirstColumn="0" w:lastRowLastColumn="0"/>
            </w:pPr>
            <w:r w:rsidRPr="008E3182">
              <w:t>attiecīgajā mēnesī faktiski izpildītie un LVC pieņemtie darbi</w:t>
            </w:r>
          </w:p>
        </w:tc>
      </w:tr>
      <w:tr w:rsidR="009F3F64" w:rsidRPr="008E3182" w14:paraId="18923B90" w14:textId="77777777" w:rsidTr="00AA66D2">
        <w:tc>
          <w:tcPr>
            <w:cnfStyle w:val="001000000000" w:firstRow="0" w:lastRow="0" w:firstColumn="1" w:lastColumn="0" w:oddVBand="0" w:evenVBand="0" w:oddHBand="0" w:evenHBand="0" w:firstRowFirstColumn="0" w:firstRowLastColumn="0" w:lastRowFirstColumn="0" w:lastRowLastColumn="0"/>
            <w:tcW w:w="4252" w:type="dxa"/>
            <w:vAlign w:val="center"/>
          </w:tcPr>
          <w:p w14:paraId="60BDCFBC" w14:textId="4A482ED7" w:rsidR="009F3F64" w:rsidRPr="008E3182" w:rsidRDefault="009F3F64" w:rsidP="00CE351E">
            <w:pPr>
              <w:keepLines/>
              <w:spacing w:after="40"/>
            </w:pPr>
            <w:r w:rsidRPr="008E3182">
              <w:t>Bitumena korekcijas aprēķins</w:t>
            </w:r>
          </w:p>
        </w:tc>
        <w:tc>
          <w:tcPr>
            <w:tcW w:w="4253" w:type="dxa"/>
            <w:vAlign w:val="center"/>
          </w:tcPr>
          <w:p w14:paraId="6CD73ED4" w14:textId="4E39C253" w:rsidR="009F3F64" w:rsidRPr="008E3182" w:rsidRDefault="009F3F64" w:rsidP="00CE351E">
            <w:pPr>
              <w:keepLines/>
              <w:spacing w:after="40"/>
              <w:cnfStyle w:val="000000000000" w:firstRow="0" w:lastRow="0" w:firstColumn="0" w:lastColumn="0" w:oddVBand="0" w:evenVBand="0" w:oddHBand="0" w:evenHBand="0" w:firstRowFirstColumn="0" w:firstRowLastColumn="0" w:lastRowFirstColumn="0" w:lastRowLastColumn="0"/>
            </w:pPr>
            <w:r w:rsidRPr="008E3182">
              <w:t>katram mēnesim atsevišķi</w:t>
            </w:r>
          </w:p>
        </w:tc>
      </w:tr>
      <w:tr w:rsidR="009F3F64" w:rsidRPr="008E3182" w14:paraId="6633CD18" w14:textId="77777777" w:rsidTr="00AA66D2">
        <w:tc>
          <w:tcPr>
            <w:cnfStyle w:val="001000000000" w:firstRow="0" w:lastRow="0" w:firstColumn="1" w:lastColumn="0" w:oddVBand="0" w:evenVBand="0" w:oddHBand="0" w:evenHBand="0" w:firstRowFirstColumn="0" w:firstRowLastColumn="0" w:lastRowFirstColumn="0" w:lastRowLastColumn="0"/>
            <w:tcW w:w="4252" w:type="dxa"/>
            <w:vAlign w:val="center"/>
          </w:tcPr>
          <w:p w14:paraId="3D03B032" w14:textId="18E0CA4A" w:rsidR="009F3F64" w:rsidRPr="008E3182" w:rsidRDefault="009F3F64" w:rsidP="00CE351E">
            <w:pPr>
              <w:keepLines/>
              <w:spacing w:after="40"/>
            </w:pPr>
            <w:r w:rsidRPr="008E3182">
              <w:t>Norēķins</w:t>
            </w:r>
          </w:p>
        </w:tc>
        <w:tc>
          <w:tcPr>
            <w:tcW w:w="4253" w:type="dxa"/>
            <w:vAlign w:val="center"/>
          </w:tcPr>
          <w:p w14:paraId="518B406F" w14:textId="02BD2E16" w:rsidR="009F3F64" w:rsidRPr="008E3182" w:rsidRDefault="009F3F64" w:rsidP="00CE351E">
            <w:pPr>
              <w:keepLines/>
              <w:spacing w:after="40"/>
              <w:cnfStyle w:val="000000000000" w:firstRow="0" w:lastRow="0" w:firstColumn="0" w:lastColumn="0" w:oddVBand="0" w:evenVBand="0" w:oddHBand="0" w:evenHBand="0" w:firstRowFirstColumn="0" w:firstRowLastColumn="0" w:lastRowFirstColumn="0" w:lastRowLastColumn="0"/>
            </w:pPr>
            <w:r w:rsidRPr="008E3182">
              <w:t>ikmēneša vai ceturkšņa norēķins</w:t>
            </w:r>
          </w:p>
        </w:tc>
      </w:tr>
      <w:tr w:rsidR="009F3F64" w:rsidRPr="008E3182" w14:paraId="382D8652" w14:textId="77777777" w:rsidTr="00AA66D2">
        <w:tc>
          <w:tcPr>
            <w:cnfStyle w:val="001000000000" w:firstRow="0" w:lastRow="0" w:firstColumn="1" w:lastColumn="0" w:oddVBand="0" w:evenVBand="0" w:oddHBand="0" w:evenHBand="0" w:firstRowFirstColumn="0" w:firstRowLastColumn="0" w:lastRowFirstColumn="0" w:lastRowLastColumn="0"/>
            <w:tcW w:w="4252" w:type="dxa"/>
            <w:vAlign w:val="center"/>
          </w:tcPr>
          <w:p w14:paraId="6C500BB3" w14:textId="2E9DB41F" w:rsidR="009F3F64" w:rsidRPr="008E3182" w:rsidRDefault="009F3F64" w:rsidP="00CE351E">
            <w:pPr>
              <w:keepLines/>
              <w:spacing w:after="40"/>
            </w:pPr>
            <w:r w:rsidRPr="008E3182">
              <w:t>Gala kontrole</w:t>
            </w:r>
          </w:p>
        </w:tc>
        <w:tc>
          <w:tcPr>
            <w:tcW w:w="4253" w:type="dxa"/>
            <w:vAlign w:val="center"/>
          </w:tcPr>
          <w:p w14:paraId="55DDC724" w14:textId="7313D098" w:rsidR="009F3F64" w:rsidRPr="008E3182" w:rsidRDefault="009F3F64" w:rsidP="00CE351E">
            <w:pPr>
              <w:keepLines/>
              <w:spacing w:after="40"/>
              <w:cnfStyle w:val="000000000000" w:firstRow="0" w:lastRow="0" w:firstColumn="0" w:lastColumn="0" w:oddVBand="0" w:evenVBand="0" w:oddHBand="0" w:evenHBand="0" w:firstRowFirstColumn="0" w:firstRowLastColumn="0" w:lastRowFirstColumn="0" w:lastRowLastColumn="0"/>
            </w:pPr>
            <w:r w:rsidRPr="008E3182">
              <w:t>izlīdzinājums līguma beigās, ja nepieciešams</w:t>
            </w:r>
          </w:p>
        </w:tc>
      </w:tr>
    </w:tbl>
    <w:p w14:paraId="0997653F" w14:textId="77777777" w:rsidR="00AF2AFC" w:rsidRPr="00AF2AFC" w:rsidRDefault="00AF2AFC" w:rsidP="00AF2AFC">
      <w:pPr>
        <w:spacing w:after="60"/>
        <w:rPr>
          <w:i/>
          <w:iCs/>
          <w:sz w:val="16"/>
          <w:szCs w:val="16"/>
        </w:rPr>
      </w:pPr>
      <w:r w:rsidRPr="00AF2AFC">
        <w:rPr>
          <w:i/>
          <w:iCs/>
          <w:sz w:val="16"/>
          <w:szCs w:val="16"/>
        </w:rPr>
        <w:t>Avots: KPMG apkopojums, balstoties uz veikto analīzi</w:t>
      </w:r>
    </w:p>
    <w:p w14:paraId="7BECE7AC" w14:textId="3B577B4E" w:rsidR="00ED3254" w:rsidRPr="008E3182" w:rsidRDefault="00ED3254" w:rsidP="00F822E8">
      <w:pPr>
        <w:pStyle w:val="Virsraksts3"/>
      </w:pPr>
      <w:r w:rsidRPr="008E3182">
        <w:t>Administratīvi līdzsvarots variants ir mēneša bitumena korekcijas aprēķins ar ceturkšņa vai gala izlīdzinājumu. Ja būvuzņēmēja naudas plūsmas risks ir būtisks, LVC var paredzēt ikmēneša norēķinu kopā ar izpildes aktu.</w:t>
      </w:r>
    </w:p>
    <w:p w14:paraId="7600B272" w14:textId="11E3C1B9" w:rsidR="00B2384A" w:rsidRPr="008E3182" w:rsidRDefault="00B2384A" w:rsidP="001D7E62"/>
    <w:sectPr w:rsidR="00B2384A" w:rsidRPr="008E3182" w:rsidSect="00EA7D68">
      <w:headerReference w:type="default" r:id="rId9"/>
      <w:footerReference w:type="default" r:id="rId10"/>
      <w:pgSz w:w="11907" w:h="16840" w:code="9"/>
      <w:pgMar w:top="2835" w:right="1474" w:bottom="1588" w:left="1474" w:header="1077" w:footer="709" w:gutter="454"/>
      <w:cols w: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AC51" w14:textId="77777777" w:rsidR="00EC2DC2" w:rsidRDefault="00EC2DC2" w:rsidP="00ED3254">
      <w:r>
        <w:separator/>
      </w:r>
    </w:p>
  </w:endnote>
  <w:endnote w:type="continuationSeparator" w:id="0">
    <w:p w14:paraId="5A838ED2" w14:textId="77777777" w:rsidR="00EC2DC2" w:rsidRDefault="00EC2DC2" w:rsidP="00ED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1" w:fontKey="{CD0573C2-68F4-447C-A02E-F649E79473A6}"/>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PMG Bold">
    <w:charset w:val="BA"/>
    <w:family w:val="swiss"/>
    <w:pitch w:val="variable"/>
    <w:sig w:usb0="00000287" w:usb1="00000000" w:usb2="00000000" w:usb3="00000000" w:csb0="0000009F" w:csb1="00000000"/>
    <w:embedRegular r:id="rId2" w:fontKey="{6DAF3DA4-7E67-4234-9E0F-66C5DF640165}"/>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embedRegular r:id="rId3" w:fontKey="{B37662CB-50BE-4460-8097-F11BD72A182C}"/>
    <w:embedBold r:id="rId4" w:fontKey="{711B2623-E54F-4275-942D-14B0A8FC593B}"/>
    <w:embedItalic r:id="rId5" w:fontKey="{548E0F6E-729E-4364-B7D1-0AD5A70C5479}"/>
  </w:font>
  <w:font w:name="Cambria Math">
    <w:panose1 w:val="02040503050406030204"/>
    <w:charset w:val="BA"/>
    <w:family w:val="roman"/>
    <w:pitch w:val="variable"/>
    <w:sig w:usb0="E00006FF" w:usb1="420024FF" w:usb2="02000000" w:usb3="00000000" w:csb0="0000019F" w:csb1="00000000"/>
    <w:embedRegular r:id="rId6" w:fontKey="{DB1FC679-8702-42F0-94A1-160284A0A4C7}"/>
    <w:embedItalic r:id="rId7" w:fontKey="{F7F0796A-18AE-4E96-9A4E-3C43358A689C}"/>
    <w:embedBoldItalic r:id="rId8" w:fontKey="{D7DF3727-2FCF-4780-999C-86157C44DC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3811" w14:textId="77777777" w:rsidR="00F22175" w:rsidRDefault="00F22175" w:rsidP="00ED3254">
    <w:pPr>
      <w:pStyle w:val="Kjene"/>
    </w:pPr>
    <w:r>
      <w:rPr>
        <w:rStyle w:val="Lappusesnumurs"/>
      </w:rPr>
      <w:pgNum/>
    </w:r>
  </w:p>
  <w:p w14:paraId="49E9BC84" w14:textId="77777777" w:rsidR="00F22175" w:rsidRDefault="00F22175" w:rsidP="00ED3254">
    <w:pPr>
      <w:pStyle w:val="Kjene"/>
    </w:pPr>
    <w:r>
      <w:rPr>
        <w:noProof/>
        <w:lang w:eastAsia="en-US"/>
      </w:rPr>
      <mc:AlternateContent>
        <mc:Choice Requires="wps">
          <w:drawing>
            <wp:anchor distT="0" distB="0" distL="114300" distR="114300" simplePos="0" relativeHeight="251658242" behindDoc="0" locked="0" layoutInCell="1" allowOverlap="1" wp14:anchorId="36848CB0" wp14:editId="1616157B">
              <wp:simplePos x="0" y="0"/>
              <wp:positionH relativeFrom="column">
                <wp:posOffset>902335</wp:posOffset>
              </wp:positionH>
              <wp:positionV relativeFrom="page">
                <wp:posOffset>10217092</wp:posOffset>
              </wp:positionV>
              <wp:extent cx="3719945" cy="429491"/>
              <wp:effectExtent l="0" t="0" r="0" b="88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945" cy="429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D7338" w14:textId="7DDCDF5C" w:rsidR="00F22175" w:rsidRPr="009F3F64" w:rsidRDefault="00F22175" w:rsidP="009F3F64">
                          <w:pPr>
                            <w:jc w:val="center"/>
                            <w:rPr>
                              <w:sz w:val="16"/>
                              <w:szCs w:val="16"/>
                            </w:rPr>
                          </w:pPr>
                          <w:r w:rsidRPr="009F3F64">
                            <w:rPr>
                              <w:sz w:val="16"/>
                              <w:szCs w:val="16"/>
                            </w:rPr>
                            <w:fldChar w:fldCharType="begin"/>
                          </w:r>
                          <w:r w:rsidRPr="009F3F64">
                            <w:rPr>
                              <w:sz w:val="16"/>
                              <w:szCs w:val="16"/>
                            </w:rPr>
                            <w:instrText xml:space="preserve"> DOCPROPERTY  KISDocClassMsg </w:instrText>
                          </w:r>
                          <w:r w:rsidRPr="009F3F64">
                            <w:rPr>
                              <w:sz w:val="16"/>
                              <w:szCs w:val="16"/>
                            </w:rPr>
                            <w:fldChar w:fldCharType="separate"/>
                          </w:r>
                          <w:r w:rsidR="009A7229">
                            <w:rPr>
                              <w:sz w:val="16"/>
                              <w:szCs w:val="16"/>
                            </w:rPr>
                            <w:t xml:space="preserve">Dokumenta klasifikācija: </w:t>
                          </w:r>
                          <w:r w:rsidRPr="009F3F64">
                            <w:rPr>
                              <w:sz w:val="16"/>
                              <w:szCs w:val="16"/>
                            </w:rPr>
                            <w:fldChar w:fldCharType="end"/>
                          </w:r>
                          <w:sdt>
                            <w:sdtPr>
                              <w:rPr>
                                <w:sz w:val="16"/>
                                <w:szCs w:val="16"/>
                              </w:rPr>
                              <w:alias w:val="Category"/>
                              <w:tag w:val="Category"/>
                              <w:id w:val="723953201"/>
                              <w:dataBinding w:prefixMappings="xmlns:ns0='http://purl.org/dc/elements/1.1/' xmlns:ns1='http://schemas.openxmlformats.org/package/2006/metadata/core-properties' " w:xpath="/ns1:coreProperties[1]/ns1:category[1]" w:storeItemID="{6C3C8BC8-F283-45AE-878A-BAB7291924A1}"/>
                              <w:text/>
                            </w:sdtPr>
                            <w:sdtContent>
                              <w:r w:rsidR="00B73D9B" w:rsidRPr="009F3F64">
                                <w:rPr>
                                  <w:sz w:val="16"/>
                                  <w:szCs w:val="16"/>
                                </w:rPr>
                                <w:t>Konfidenciāls</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48CB0" id="_x0000_t202" coordsize="21600,21600" o:spt="202" path="m,l,21600r21600,l21600,xe">
              <v:stroke joinstyle="miter"/>
              <v:path gradientshapeok="t" o:connecttype="rect"/>
            </v:shapetype>
            <v:shape id="Text Box 2" o:spid="_x0000_s1026" type="#_x0000_t202" style="position:absolute;left:0;text-align:left;margin-left:71.05pt;margin-top:804.5pt;width:292.9pt;height:33.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" filled="f" stroked="f">
              <v:textbox>
                <w:txbxContent>
                  <w:p w14:paraId="427D7338" w14:textId="7DDCDF5C" w:rsidR="00F22175" w:rsidRPr="009F3F64" w:rsidRDefault="00F22175" w:rsidP="009F3F64">
                    <w:pPr>
                      <w:jc w:val="center"/>
                      <w:rPr>
                        <w:sz w:val="16"/>
                        <w:szCs w:val="16"/>
                      </w:rPr>
                    </w:pPr>
                    <w:r w:rsidRPr="009F3F64">
                      <w:rPr>
                        <w:sz w:val="16"/>
                        <w:szCs w:val="16"/>
                      </w:rPr>
                      <w:fldChar w:fldCharType="begin"/>
                    </w:r>
                    <w:r w:rsidRPr="009F3F64">
                      <w:rPr>
                        <w:sz w:val="16"/>
                        <w:szCs w:val="16"/>
                      </w:rPr>
                      <w:instrText xml:space="preserve"> DOCPROPERTY  KISDocClassMsg </w:instrText>
                    </w:r>
                    <w:r w:rsidRPr="009F3F64">
                      <w:rPr>
                        <w:sz w:val="16"/>
                        <w:szCs w:val="16"/>
                      </w:rPr>
                      <w:fldChar w:fldCharType="separate"/>
                    </w:r>
                    <w:r w:rsidR="009A7229">
                      <w:rPr>
                        <w:sz w:val="16"/>
                        <w:szCs w:val="16"/>
                      </w:rPr>
                      <w:t xml:space="preserve">Dokumenta klasifikācija: </w:t>
                    </w:r>
                    <w:r w:rsidRPr="009F3F64">
                      <w:rPr>
                        <w:sz w:val="16"/>
                        <w:szCs w:val="16"/>
                      </w:rPr>
                      <w:fldChar w:fldCharType="end"/>
                    </w:r>
                    <w:sdt>
                      <w:sdtPr>
                        <w:rPr>
                          <w:sz w:val="16"/>
                          <w:szCs w:val="16"/>
                        </w:rPr>
                        <w:alias w:val="Category"/>
                        <w:tag w:val="Category"/>
                        <w:id w:val="723953201"/>
                        <w:dataBinding w:prefixMappings="xmlns:ns0='http://purl.org/dc/elements/1.1/' xmlns:ns1='http://schemas.openxmlformats.org/package/2006/metadata/core-properties' " w:xpath="/ns1:coreProperties[1]/ns1:category[1]" w:storeItemID="{6C3C8BC8-F283-45AE-878A-BAB7291924A1}"/>
                        <w:text/>
                      </w:sdtPr>
                      <w:sdtContent>
                        <w:r w:rsidR="00B73D9B" w:rsidRPr="009F3F64">
                          <w:rPr>
                            <w:sz w:val="16"/>
                            <w:szCs w:val="16"/>
                          </w:rPr>
                          <w:t>Konfidenciāls</w:t>
                        </w:r>
                      </w:sdtContent>
                    </w:sdt>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3BE8B" w14:textId="77777777" w:rsidR="00EC2DC2" w:rsidRDefault="00EC2DC2" w:rsidP="00ED3254">
      <w:r>
        <w:separator/>
      </w:r>
    </w:p>
  </w:footnote>
  <w:footnote w:type="continuationSeparator" w:id="0">
    <w:p w14:paraId="1CCBAF1B" w14:textId="77777777" w:rsidR="00EC2DC2" w:rsidRDefault="00EC2DC2" w:rsidP="00ED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71" w:type="dxa"/>
      </w:tblCellMar>
      <w:tblLook w:val="0000" w:firstRow="0" w:lastRow="0" w:firstColumn="0" w:lastColumn="0" w:noHBand="0" w:noVBand="0"/>
    </w:tblPr>
    <w:tblGrid>
      <w:gridCol w:w="7938"/>
    </w:tblGrid>
    <w:tr w:rsidR="00F22175" w14:paraId="182E60C2" w14:textId="77777777" w:rsidTr="00AA4493">
      <w:trPr>
        <w:trHeight w:hRule="exact" w:val="222"/>
      </w:trPr>
      <w:tc>
        <w:tcPr>
          <w:tcW w:w="7938" w:type="dxa"/>
        </w:tcPr>
        <w:p w14:paraId="57D4C249" w14:textId="77777777" w:rsidR="00F22175" w:rsidRDefault="00F22175" w:rsidP="00ED3254">
          <w:pPr>
            <w:pStyle w:val="Galvene"/>
          </w:pPr>
        </w:p>
      </w:tc>
    </w:tr>
    <w:tr w:rsidR="00F22175" w14:paraId="0982E9AC" w14:textId="77777777" w:rsidTr="00AA4493">
      <w:trPr>
        <w:trHeight w:hRule="exact" w:val="222"/>
      </w:trPr>
      <w:tc>
        <w:tcPr>
          <w:tcW w:w="7938" w:type="dxa"/>
        </w:tcPr>
        <w:p w14:paraId="4642BE14" w14:textId="77777777" w:rsidR="00F22175" w:rsidRDefault="00F22175" w:rsidP="00ED3254">
          <w:pPr>
            <w:pStyle w:val="Galvene"/>
          </w:pPr>
        </w:p>
      </w:tc>
    </w:tr>
    <w:tr w:rsidR="00F22175" w14:paraId="2539FAA9" w14:textId="77777777" w:rsidTr="00AA4493">
      <w:trPr>
        <w:trHeight w:val="452"/>
      </w:trPr>
      <w:tc>
        <w:tcPr>
          <w:tcW w:w="7938" w:type="dxa"/>
        </w:tcPr>
        <w:p w14:paraId="7E4B2E3E" w14:textId="77777777" w:rsidR="00F22175" w:rsidRDefault="00F22175" w:rsidP="00ED3254">
          <w:pPr>
            <w:pStyle w:val="Galvene"/>
          </w:pPr>
        </w:p>
      </w:tc>
    </w:tr>
  </w:tbl>
  <w:p w14:paraId="3C51DBDE" w14:textId="0474E827" w:rsidR="00F22175" w:rsidRPr="008761B8" w:rsidRDefault="00F22175" w:rsidP="00ED3254">
    <w:pPr>
      <w:pStyle w:val="Galvene"/>
    </w:pPr>
    <w:r>
      <w:rPr>
        <w:noProof/>
      </w:rPr>
      <w:fldChar w:fldCharType="begin"/>
    </w:r>
    <w:r>
      <w:rPr>
        <w:noProof/>
      </w:rPr>
      <w:instrText xml:space="preserve"> REF  FPLogo </w:instrText>
    </w:r>
    <w:r>
      <w:rPr>
        <w:noProof/>
      </w:rPr>
      <w:fldChar w:fldCharType="separate"/>
    </w:r>
    <w:r>
      <w:rPr>
        <w:noProof/>
      </w:rPr>
      <w:fldChar w:fldCharType="end"/>
    </w:r>
  </w:p>
  <w:p w14:paraId="2B6CAF83" w14:textId="48057221" w:rsidR="00F22175" w:rsidRDefault="00F22175" w:rsidP="00ED32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C6F93"/>
    <w:multiLevelType w:val="singleLevel"/>
    <w:tmpl w:val="898645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 w15:restartNumberingAfterBreak="0">
    <w:nsid w:val="17DC066A"/>
    <w:multiLevelType w:val="multilevel"/>
    <w:tmpl w:val="4292416E"/>
    <w:lvl w:ilvl="0">
      <w:start w:val="1"/>
      <w:numFmt w:val="decimal"/>
      <w:pStyle w:val="Virsraksts1"/>
      <w:lvlText w:val="%1."/>
      <w:lvlJc w:val="left"/>
      <w:pPr>
        <w:tabs>
          <w:tab w:val="num" w:pos="0"/>
        </w:tabs>
        <w:ind w:left="0" w:hanging="964"/>
      </w:pPr>
      <w:rPr>
        <w:rFonts w:hint="default"/>
      </w:rPr>
    </w:lvl>
    <w:lvl w:ilvl="1">
      <w:start w:val="1"/>
      <w:numFmt w:val="decimal"/>
      <w:pStyle w:val="Virsraksts2"/>
      <w:lvlText w:val="%1.%2."/>
      <w:lvlJc w:val="left"/>
      <w:pPr>
        <w:tabs>
          <w:tab w:val="num" w:pos="0"/>
        </w:tabs>
        <w:ind w:left="0" w:hanging="964"/>
      </w:pPr>
      <w:rPr>
        <w:rFonts w:hint="default"/>
      </w:rPr>
    </w:lvl>
    <w:lvl w:ilvl="2">
      <w:start w:val="1"/>
      <w:numFmt w:val="decimal"/>
      <w:pStyle w:val="Virsraksts3"/>
      <w:lvlText w:val="%1.%2.%3."/>
      <w:lvlJc w:val="left"/>
      <w:pPr>
        <w:tabs>
          <w:tab w:val="num" w:pos="0"/>
        </w:tabs>
        <w:ind w:left="0" w:hanging="964"/>
      </w:pPr>
      <w:rPr>
        <w:rFonts w:hint="default"/>
      </w:rPr>
    </w:lvl>
    <w:lvl w:ilvl="3">
      <w:start w:val="1"/>
      <w:numFmt w:val="decimal"/>
      <w:pStyle w:val="Virsraksts4"/>
      <w:lvlText w:val="%1.%2.%3.%4."/>
      <w:lvlJc w:val="left"/>
      <w:pPr>
        <w:tabs>
          <w:tab w:val="num" w:pos="20"/>
        </w:tabs>
        <w:ind w:left="0" w:hanging="9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1865563"/>
    <w:multiLevelType w:val="multilevel"/>
    <w:tmpl w:val="6ABA0312"/>
    <w:lvl w:ilvl="0">
      <w:start w:val="1"/>
      <w:numFmt w:val="upperLetter"/>
      <w:pStyle w:val="AppendixHeading"/>
      <w:lvlText w:val="%1."/>
      <w:lvlJc w:val="left"/>
      <w:pPr>
        <w:ind w:left="-604"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22D75B8C"/>
    <w:multiLevelType w:val="multilevel"/>
    <w:tmpl w:val="E65874E6"/>
    <w:lvl w:ilvl="0">
      <w:start w:val="1"/>
      <w:numFmt w:val="bullet"/>
      <w:pStyle w:val="Sarakstaaizzme"/>
      <w:lvlText w:val=""/>
      <w:lvlJc w:val="left"/>
      <w:pPr>
        <w:tabs>
          <w:tab w:val="num" w:pos="340"/>
        </w:tabs>
        <w:ind w:left="340" w:hanging="340"/>
      </w:pPr>
      <w:rPr>
        <w:rFonts w:ascii="Symbol" w:hAnsi="Symbol" w:cs="Arial" w:hint="default"/>
        <w:color w:val="auto"/>
      </w:rPr>
    </w:lvl>
    <w:lvl w:ilvl="1">
      <w:start w:val="1"/>
      <w:numFmt w:val="bullet"/>
      <w:pStyle w:val="Sarakstaaizzme2"/>
      <w:lvlText w:val=""/>
      <w:lvlJc w:val="left"/>
      <w:pPr>
        <w:tabs>
          <w:tab w:val="num" w:pos="680"/>
        </w:tabs>
        <w:ind w:left="680" w:hanging="340"/>
      </w:pPr>
      <w:rPr>
        <w:rFonts w:ascii="Symbol" w:hAnsi="Symbol" w:cs="Arial" w:hint="default"/>
        <w:color w:val="auto"/>
        <w:sz w:val="24"/>
      </w:rPr>
    </w:lvl>
    <w:lvl w:ilvl="2">
      <w:start w:val="1"/>
      <w:numFmt w:val="bullet"/>
      <w:pStyle w:val="Sarakstaaizzme3"/>
      <w:lvlText w:val=""/>
      <w:lvlJc w:val="left"/>
      <w:pPr>
        <w:tabs>
          <w:tab w:val="num" w:pos="1020"/>
        </w:tabs>
        <w:ind w:left="1020" w:hanging="340"/>
      </w:pPr>
      <w:rPr>
        <w:rFonts w:ascii="Symbol" w:hAnsi="Symbol" w:hint="default"/>
        <w:color w:val="auto"/>
      </w:rPr>
    </w:lvl>
    <w:lvl w:ilvl="3">
      <w:start w:val="1"/>
      <w:numFmt w:val="bullet"/>
      <w:pStyle w:val="Sarakstaaizzme4"/>
      <w:lvlText w:val=""/>
      <w:lvlJc w:val="left"/>
      <w:pPr>
        <w:tabs>
          <w:tab w:val="num" w:pos="1361"/>
        </w:tabs>
        <w:ind w:left="1361" w:hanging="341"/>
      </w:pPr>
      <w:rPr>
        <w:rFonts w:ascii="Symbol" w:hAnsi="Symbol" w:cs="Arial" w:hint="default"/>
        <w:color w:val="auto"/>
      </w:rPr>
    </w:lvl>
    <w:lvl w:ilvl="4">
      <w:start w:val="1"/>
      <w:numFmt w:val="bullet"/>
      <w:pStyle w:val="Sarakstaaizzme5"/>
      <w:lvlText w:val=""/>
      <w:lvlJc w:val="left"/>
      <w:pPr>
        <w:tabs>
          <w:tab w:val="num" w:pos="1701"/>
        </w:tabs>
        <w:ind w:left="1701" w:hanging="340"/>
      </w:pPr>
      <w:rPr>
        <w:rFonts w:ascii="Symbol" w:hAnsi="Symbol" w:hint="default"/>
        <w:color w:val="auto"/>
      </w:rPr>
    </w:lvl>
    <w:lvl w:ilvl="5">
      <w:start w:val="1"/>
      <w:numFmt w:val="bullet"/>
      <w:lvlText w:val=""/>
      <w:lvlJc w:val="left"/>
      <w:pPr>
        <w:tabs>
          <w:tab w:val="num" w:pos="2041"/>
        </w:tabs>
        <w:ind w:left="2041" w:hanging="340"/>
      </w:pPr>
      <w:rPr>
        <w:rFonts w:ascii="Symbol" w:hAnsi="Symbol" w:cs="Arial" w:hint="default"/>
        <w:color w:val="auto"/>
      </w:rPr>
    </w:lvl>
    <w:lvl w:ilvl="6">
      <w:start w:val="1"/>
      <w:numFmt w:val="bullet"/>
      <w:lvlText w:val=""/>
      <w:lvlJc w:val="left"/>
      <w:pPr>
        <w:tabs>
          <w:tab w:val="num" w:pos="2381"/>
        </w:tabs>
        <w:ind w:left="2381" w:hanging="340"/>
      </w:pPr>
      <w:rPr>
        <w:rFonts w:ascii="Symbol" w:hAnsi="Symbol" w:hint="default"/>
        <w:color w:val="auto"/>
      </w:rPr>
    </w:lvl>
    <w:lvl w:ilvl="7">
      <w:start w:val="1"/>
      <w:numFmt w:val="bullet"/>
      <w:lvlText w:val=""/>
      <w:lvlJc w:val="left"/>
      <w:pPr>
        <w:tabs>
          <w:tab w:val="num" w:pos="2721"/>
        </w:tabs>
        <w:ind w:left="2721" w:hanging="340"/>
      </w:pPr>
      <w:rPr>
        <w:rFonts w:ascii="Symbol" w:hAnsi="Symbol" w:cs="Arial" w:hint="default"/>
        <w:color w:val="auto"/>
      </w:rPr>
    </w:lvl>
    <w:lvl w:ilvl="8">
      <w:start w:val="1"/>
      <w:numFmt w:val="bullet"/>
      <w:lvlText w:val=""/>
      <w:lvlJc w:val="left"/>
      <w:pPr>
        <w:tabs>
          <w:tab w:val="num" w:pos="3061"/>
        </w:tabs>
        <w:ind w:left="3061" w:hanging="340"/>
      </w:pPr>
      <w:rPr>
        <w:rFonts w:ascii="Symbol" w:hAnsi="Symbol" w:hint="default"/>
        <w:color w:val="auto"/>
      </w:rPr>
    </w:lvl>
  </w:abstractNum>
  <w:abstractNum w:abstractNumId="4" w15:restartNumberingAfterBreak="0">
    <w:nsid w:val="306F514E"/>
    <w:multiLevelType w:val="multilevel"/>
    <w:tmpl w:val="1C4E2640"/>
    <w:lvl w:ilvl="0">
      <w:start w:val="1"/>
      <w:numFmt w:val="decimal"/>
      <w:pStyle w:val="Saraksts"/>
      <w:lvlText w:val="%1"/>
      <w:lvlJc w:val="left"/>
      <w:pPr>
        <w:tabs>
          <w:tab w:val="num" w:pos="567"/>
        </w:tabs>
        <w:ind w:left="567" w:hanging="567"/>
      </w:pPr>
      <w:rPr>
        <w:rFonts w:asciiTheme="minorHAnsi" w:hAnsiTheme="minorHAnsi" w:hint="default"/>
      </w:rPr>
    </w:lvl>
    <w:lvl w:ilvl="1">
      <w:start w:val="1"/>
      <w:numFmt w:val="decimal"/>
      <w:pStyle w:val="Saraksts2"/>
      <w:lvlText w:val="%1.%2"/>
      <w:lvlJc w:val="left"/>
      <w:pPr>
        <w:tabs>
          <w:tab w:val="num" w:pos="567"/>
        </w:tabs>
        <w:ind w:left="567" w:hanging="567"/>
      </w:pPr>
      <w:rPr>
        <w:rFonts w:asciiTheme="minorHAnsi" w:hAnsiTheme="minorHAnsi" w:hint="default"/>
      </w:rPr>
    </w:lvl>
    <w:lvl w:ilvl="2">
      <w:start w:val="1"/>
      <w:numFmt w:val="decimal"/>
      <w:pStyle w:val="Saraksts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5" w15:restartNumberingAfterBreak="0">
    <w:nsid w:val="320223BD"/>
    <w:multiLevelType w:val="hybridMultilevel"/>
    <w:tmpl w:val="79F8C0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50419"/>
    <w:multiLevelType w:val="hybridMultilevel"/>
    <w:tmpl w:val="A12C8D3A"/>
    <w:lvl w:ilvl="0" w:tplc="6B4EFF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D52E41"/>
    <w:multiLevelType w:val="singleLevel"/>
    <w:tmpl w:val="A4026AC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688F13F6"/>
    <w:multiLevelType w:val="singleLevel"/>
    <w:tmpl w:val="7CCAE27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6BC66967"/>
    <w:multiLevelType w:val="multilevel"/>
    <w:tmpl w:val="9A540ABE"/>
    <w:lvl w:ilvl="0">
      <w:start w:val="1"/>
      <w:numFmt w:val="decimal"/>
      <w:pStyle w:val="Sarakstanumurs"/>
      <w:lvlText w:val="%1"/>
      <w:lvlJc w:val="left"/>
      <w:pPr>
        <w:tabs>
          <w:tab w:val="num" w:pos="340"/>
        </w:tabs>
        <w:ind w:left="340" w:hanging="340"/>
      </w:pPr>
      <w:rPr>
        <w:rFonts w:asciiTheme="minorHAnsi" w:hAnsiTheme="minorHAnsi" w:hint="default"/>
        <w:sz w:val="22"/>
      </w:rPr>
    </w:lvl>
    <w:lvl w:ilvl="1">
      <w:start w:val="1"/>
      <w:numFmt w:val="lowerLetter"/>
      <w:pStyle w:val="Sarakstanumurs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Symbol" w:hAnsi="Symbol"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Symbol" w:hAnsi="Symbol"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Symbol" w:hAnsi="Symbol" w:hint="default"/>
      </w:rPr>
    </w:lvl>
  </w:abstractNum>
  <w:abstractNum w:abstractNumId="10" w15:restartNumberingAfterBreak="0">
    <w:nsid w:val="732F1B9B"/>
    <w:multiLevelType w:val="singleLevel"/>
    <w:tmpl w:val="E232267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7844190C"/>
    <w:multiLevelType w:val="hybridMultilevel"/>
    <w:tmpl w:val="1404302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4567A6"/>
    <w:multiLevelType w:val="hybridMultilevel"/>
    <w:tmpl w:val="276A68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907815">
    <w:abstractNumId w:val="1"/>
  </w:num>
  <w:num w:numId="2" w16cid:durableId="1875464929">
    <w:abstractNumId w:val="9"/>
  </w:num>
  <w:num w:numId="3" w16cid:durableId="1202866655">
    <w:abstractNumId w:val="4"/>
  </w:num>
  <w:num w:numId="4" w16cid:durableId="1638341460">
    <w:abstractNumId w:val="2"/>
  </w:num>
  <w:num w:numId="5" w16cid:durableId="980110970">
    <w:abstractNumId w:val="3"/>
  </w:num>
  <w:num w:numId="6" w16cid:durableId="6949904">
    <w:abstractNumId w:val="12"/>
  </w:num>
  <w:num w:numId="7" w16cid:durableId="852957973">
    <w:abstractNumId w:val="5"/>
  </w:num>
  <w:num w:numId="8" w16cid:durableId="1728724519">
    <w:abstractNumId w:val="0"/>
  </w:num>
  <w:num w:numId="9" w16cid:durableId="575823457">
    <w:abstractNumId w:val="10"/>
  </w:num>
  <w:num w:numId="10" w16cid:durableId="1934973687">
    <w:abstractNumId w:val="11"/>
  </w:num>
  <w:num w:numId="11" w16cid:durableId="496919657">
    <w:abstractNumId w:val="8"/>
  </w:num>
  <w:num w:numId="12" w16cid:durableId="840581220">
    <w:abstractNumId w:val="6"/>
  </w:num>
  <w:num w:numId="13" w16cid:durableId="298263772">
    <w:abstractNumId w:val="7"/>
  </w:num>
  <w:num w:numId="14" w16cid:durableId="375200634">
    <w:abstractNumId w:val="1"/>
  </w:num>
  <w:num w:numId="15" w16cid:durableId="90572312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andText" w:val="KPMG Baltics SIA"/>
    <w:docVar w:name="CoName" w:val="AS Latvijas valsts ceļi"/>
    <w:docVar w:name="DraftWatermark" w:val="0"/>
    <w:docVar w:name="FirmName" w:val="KPMG Baltics SIA"/>
    <w:docVar w:name="HdrInfo" w:val="2026. gada 4. jūnijs"/>
    <w:docVar w:name="KISDocType" w:val="Report"/>
    <w:docVar w:name="KISFilledIn" w:val="Y"/>
    <w:docVar w:name="KISVer" w:val="5.2"/>
    <w:docVar w:name="Num3Paras" w:val="No"/>
    <w:docVar w:name="OffIndex" w:val=" 0"/>
    <w:docVar w:name="OffIni" w:val="KINTOFF.INI.LV.xml"/>
    <w:docVar w:name="OffName" w:val="KPMG Baltics SIA"/>
    <w:docVar w:name="Orientation" w:val="Portrait"/>
    <w:docVar w:name="ReportName" w:val="Ārkārtēju apstākļu ietekmes uz būvdarbu līgumu izmaksām izvērtējums un cenu indeksācijas mehānisma pilnveide"/>
    <w:docVar w:name="ReptStyle" w:val=" 0"/>
  </w:docVars>
  <w:rsids>
    <w:rsidRoot w:val="00B73D9B"/>
    <w:rsid w:val="000038D1"/>
    <w:rsid w:val="00003ABF"/>
    <w:rsid w:val="00006348"/>
    <w:rsid w:val="00010B5E"/>
    <w:rsid w:val="000116C9"/>
    <w:rsid w:val="00011C8F"/>
    <w:rsid w:val="0001355A"/>
    <w:rsid w:val="00016A4C"/>
    <w:rsid w:val="0002055E"/>
    <w:rsid w:val="00021AE3"/>
    <w:rsid w:val="00021D5F"/>
    <w:rsid w:val="00022630"/>
    <w:rsid w:val="0002265B"/>
    <w:rsid w:val="0002356F"/>
    <w:rsid w:val="00024D63"/>
    <w:rsid w:val="00025909"/>
    <w:rsid w:val="00027EA0"/>
    <w:rsid w:val="000306D9"/>
    <w:rsid w:val="00032909"/>
    <w:rsid w:val="0003297C"/>
    <w:rsid w:val="0003450E"/>
    <w:rsid w:val="000353C8"/>
    <w:rsid w:val="00036222"/>
    <w:rsid w:val="000369FD"/>
    <w:rsid w:val="0004031D"/>
    <w:rsid w:val="00040CA5"/>
    <w:rsid w:val="0004240F"/>
    <w:rsid w:val="00043C0A"/>
    <w:rsid w:val="00046891"/>
    <w:rsid w:val="0005078C"/>
    <w:rsid w:val="00056BA4"/>
    <w:rsid w:val="00060662"/>
    <w:rsid w:val="000641BA"/>
    <w:rsid w:val="00064EB6"/>
    <w:rsid w:val="000661BC"/>
    <w:rsid w:val="0006690E"/>
    <w:rsid w:val="00066B61"/>
    <w:rsid w:val="00066C14"/>
    <w:rsid w:val="0006794C"/>
    <w:rsid w:val="00070A69"/>
    <w:rsid w:val="00070D68"/>
    <w:rsid w:val="0007245F"/>
    <w:rsid w:val="00085E4F"/>
    <w:rsid w:val="00087015"/>
    <w:rsid w:val="000870A8"/>
    <w:rsid w:val="0008730D"/>
    <w:rsid w:val="0008786F"/>
    <w:rsid w:val="00090959"/>
    <w:rsid w:val="00092C90"/>
    <w:rsid w:val="000945AF"/>
    <w:rsid w:val="0009682D"/>
    <w:rsid w:val="000975B2"/>
    <w:rsid w:val="000A0DB5"/>
    <w:rsid w:val="000A10E2"/>
    <w:rsid w:val="000A21DB"/>
    <w:rsid w:val="000A234B"/>
    <w:rsid w:val="000A47E0"/>
    <w:rsid w:val="000A6038"/>
    <w:rsid w:val="000A60F7"/>
    <w:rsid w:val="000A6F94"/>
    <w:rsid w:val="000B24F2"/>
    <w:rsid w:val="000C0ACA"/>
    <w:rsid w:val="000C21E4"/>
    <w:rsid w:val="000C4F65"/>
    <w:rsid w:val="000C5638"/>
    <w:rsid w:val="000C58BB"/>
    <w:rsid w:val="000C7DD2"/>
    <w:rsid w:val="000D179D"/>
    <w:rsid w:val="000D2064"/>
    <w:rsid w:val="000E24A4"/>
    <w:rsid w:val="000E4ACA"/>
    <w:rsid w:val="000F0396"/>
    <w:rsid w:val="000F161D"/>
    <w:rsid w:val="000F209F"/>
    <w:rsid w:val="000F4E31"/>
    <w:rsid w:val="000F5769"/>
    <w:rsid w:val="00100339"/>
    <w:rsid w:val="001020DD"/>
    <w:rsid w:val="00104669"/>
    <w:rsid w:val="00106657"/>
    <w:rsid w:val="00107099"/>
    <w:rsid w:val="00107F81"/>
    <w:rsid w:val="00110651"/>
    <w:rsid w:val="0011133E"/>
    <w:rsid w:val="00114A5F"/>
    <w:rsid w:val="0012591D"/>
    <w:rsid w:val="00125931"/>
    <w:rsid w:val="00125FDD"/>
    <w:rsid w:val="001261AE"/>
    <w:rsid w:val="00127B0F"/>
    <w:rsid w:val="0013050B"/>
    <w:rsid w:val="00133233"/>
    <w:rsid w:val="001345DF"/>
    <w:rsid w:val="001351CF"/>
    <w:rsid w:val="00135E66"/>
    <w:rsid w:val="00136C10"/>
    <w:rsid w:val="00146239"/>
    <w:rsid w:val="00147DEC"/>
    <w:rsid w:val="00151A71"/>
    <w:rsid w:val="00151FC8"/>
    <w:rsid w:val="00152305"/>
    <w:rsid w:val="00153C20"/>
    <w:rsid w:val="0015434C"/>
    <w:rsid w:val="0015735A"/>
    <w:rsid w:val="00157CF7"/>
    <w:rsid w:val="001622E4"/>
    <w:rsid w:val="001650B1"/>
    <w:rsid w:val="00165334"/>
    <w:rsid w:val="0016634C"/>
    <w:rsid w:val="00171354"/>
    <w:rsid w:val="00171CA4"/>
    <w:rsid w:val="00174B45"/>
    <w:rsid w:val="00174D49"/>
    <w:rsid w:val="001752B4"/>
    <w:rsid w:val="00175665"/>
    <w:rsid w:val="00175DC4"/>
    <w:rsid w:val="0018162A"/>
    <w:rsid w:val="001838CE"/>
    <w:rsid w:val="001854A1"/>
    <w:rsid w:val="00186E24"/>
    <w:rsid w:val="00187AB0"/>
    <w:rsid w:val="001900AA"/>
    <w:rsid w:val="0019036C"/>
    <w:rsid w:val="00190E4A"/>
    <w:rsid w:val="00194973"/>
    <w:rsid w:val="001A0E59"/>
    <w:rsid w:val="001A287D"/>
    <w:rsid w:val="001A760D"/>
    <w:rsid w:val="001B289B"/>
    <w:rsid w:val="001B58E9"/>
    <w:rsid w:val="001B6753"/>
    <w:rsid w:val="001C49E5"/>
    <w:rsid w:val="001C68B4"/>
    <w:rsid w:val="001C6E23"/>
    <w:rsid w:val="001D0519"/>
    <w:rsid w:val="001D1319"/>
    <w:rsid w:val="001D2B61"/>
    <w:rsid w:val="001D37E8"/>
    <w:rsid w:val="001D3991"/>
    <w:rsid w:val="001D7E62"/>
    <w:rsid w:val="001E0620"/>
    <w:rsid w:val="001E1A17"/>
    <w:rsid w:val="001E2170"/>
    <w:rsid w:val="001E2556"/>
    <w:rsid w:val="001E74A6"/>
    <w:rsid w:val="001F0F52"/>
    <w:rsid w:val="001F30C3"/>
    <w:rsid w:val="001F40A1"/>
    <w:rsid w:val="001F59AE"/>
    <w:rsid w:val="001F5F17"/>
    <w:rsid w:val="00200CC7"/>
    <w:rsid w:val="00202386"/>
    <w:rsid w:val="00204BCD"/>
    <w:rsid w:val="002055AD"/>
    <w:rsid w:val="00207063"/>
    <w:rsid w:val="00207089"/>
    <w:rsid w:val="0021129C"/>
    <w:rsid w:val="0021173C"/>
    <w:rsid w:val="00211D52"/>
    <w:rsid w:val="00213266"/>
    <w:rsid w:val="00213CD1"/>
    <w:rsid w:val="00214E87"/>
    <w:rsid w:val="0021740C"/>
    <w:rsid w:val="00217FB0"/>
    <w:rsid w:val="00220609"/>
    <w:rsid w:val="0022216B"/>
    <w:rsid w:val="00227475"/>
    <w:rsid w:val="00227B0B"/>
    <w:rsid w:val="0023271A"/>
    <w:rsid w:val="002331D5"/>
    <w:rsid w:val="0023355C"/>
    <w:rsid w:val="00233590"/>
    <w:rsid w:val="002338ED"/>
    <w:rsid w:val="00235153"/>
    <w:rsid w:val="00240DD8"/>
    <w:rsid w:val="00242069"/>
    <w:rsid w:val="00245E7D"/>
    <w:rsid w:val="00247C71"/>
    <w:rsid w:val="0025205C"/>
    <w:rsid w:val="0025512B"/>
    <w:rsid w:val="002572DF"/>
    <w:rsid w:val="00261256"/>
    <w:rsid w:val="002623B4"/>
    <w:rsid w:val="002623CE"/>
    <w:rsid w:val="002705B0"/>
    <w:rsid w:val="00271134"/>
    <w:rsid w:val="002730FE"/>
    <w:rsid w:val="00274E91"/>
    <w:rsid w:val="00275367"/>
    <w:rsid w:val="00282189"/>
    <w:rsid w:val="00283233"/>
    <w:rsid w:val="002863F5"/>
    <w:rsid w:val="002871C1"/>
    <w:rsid w:val="00287DF4"/>
    <w:rsid w:val="00290829"/>
    <w:rsid w:val="00295640"/>
    <w:rsid w:val="002A68F0"/>
    <w:rsid w:val="002A7E2F"/>
    <w:rsid w:val="002B2BC1"/>
    <w:rsid w:val="002B6696"/>
    <w:rsid w:val="002B6A87"/>
    <w:rsid w:val="002B6B08"/>
    <w:rsid w:val="002C1E29"/>
    <w:rsid w:val="002C2A41"/>
    <w:rsid w:val="002C3264"/>
    <w:rsid w:val="002C4599"/>
    <w:rsid w:val="002C5503"/>
    <w:rsid w:val="002C5F78"/>
    <w:rsid w:val="002C6745"/>
    <w:rsid w:val="002D3DF6"/>
    <w:rsid w:val="002D4752"/>
    <w:rsid w:val="002D6696"/>
    <w:rsid w:val="002D6BBC"/>
    <w:rsid w:val="002E0312"/>
    <w:rsid w:val="002E084E"/>
    <w:rsid w:val="002E0F4E"/>
    <w:rsid w:val="002E3297"/>
    <w:rsid w:val="002E7BC2"/>
    <w:rsid w:val="002F0515"/>
    <w:rsid w:val="002F21C4"/>
    <w:rsid w:val="002F2EEB"/>
    <w:rsid w:val="002F4C95"/>
    <w:rsid w:val="002F6477"/>
    <w:rsid w:val="002F720A"/>
    <w:rsid w:val="003031B6"/>
    <w:rsid w:val="00303E00"/>
    <w:rsid w:val="00304CAF"/>
    <w:rsid w:val="00310953"/>
    <w:rsid w:val="0031249A"/>
    <w:rsid w:val="003244DD"/>
    <w:rsid w:val="00331177"/>
    <w:rsid w:val="003342EC"/>
    <w:rsid w:val="00336CE7"/>
    <w:rsid w:val="003404D0"/>
    <w:rsid w:val="00341ADB"/>
    <w:rsid w:val="00344B8E"/>
    <w:rsid w:val="0034515E"/>
    <w:rsid w:val="00345512"/>
    <w:rsid w:val="00346A1A"/>
    <w:rsid w:val="00360DF9"/>
    <w:rsid w:val="0036251B"/>
    <w:rsid w:val="00362CF4"/>
    <w:rsid w:val="00362E12"/>
    <w:rsid w:val="00364022"/>
    <w:rsid w:val="003654F1"/>
    <w:rsid w:val="00365ECD"/>
    <w:rsid w:val="0037067B"/>
    <w:rsid w:val="00370719"/>
    <w:rsid w:val="00374987"/>
    <w:rsid w:val="003768C3"/>
    <w:rsid w:val="0038043C"/>
    <w:rsid w:val="00380D4F"/>
    <w:rsid w:val="0038121A"/>
    <w:rsid w:val="00382F3C"/>
    <w:rsid w:val="003843B7"/>
    <w:rsid w:val="00386C4B"/>
    <w:rsid w:val="003916D5"/>
    <w:rsid w:val="00393CFB"/>
    <w:rsid w:val="00393E0C"/>
    <w:rsid w:val="003942F9"/>
    <w:rsid w:val="00394DFD"/>
    <w:rsid w:val="003A2CAF"/>
    <w:rsid w:val="003A3A8B"/>
    <w:rsid w:val="003A45EC"/>
    <w:rsid w:val="003A50C2"/>
    <w:rsid w:val="003A52AD"/>
    <w:rsid w:val="003A687A"/>
    <w:rsid w:val="003A7931"/>
    <w:rsid w:val="003B0047"/>
    <w:rsid w:val="003B021C"/>
    <w:rsid w:val="003B1B7A"/>
    <w:rsid w:val="003B3753"/>
    <w:rsid w:val="003B46AA"/>
    <w:rsid w:val="003B6206"/>
    <w:rsid w:val="003C0FFD"/>
    <w:rsid w:val="003C2DAF"/>
    <w:rsid w:val="003D0993"/>
    <w:rsid w:val="003D5EC1"/>
    <w:rsid w:val="003D6AC1"/>
    <w:rsid w:val="003D6B4C"/>
    <w:rsid w:val="003D6DD5"/>
    <w:rsid w:val="003E358A"/>
    <w:rsid w:val="003E37D4"/>
    <w:rsid w:val="003E3F37"/>
    <w:rsid w:val="003E472F"/>
    <w:rsid w:val="003E5A12"/>
    <w:rsid w:val="003F1631"/>
    <w:rsid w:val="003F2EC5"/>
    <w:rsid w:val="003F470D"/>
    <w:rsid w:val="003F4D8F"/>
    <w:rsid w:val="004001D4"/>
    <w:rsid w:val="004008E7"/>
    <w:rsid w:val="00401C31"/>
    <w:rsid w:val="00403B87"/>
    <w:rsid w:val="00407608"/>
    <w:rsid w:val="00411F5C"/>
    <w:rsid w:val="00412C8A"/>
    <w:rsid w:val="00412CC2"/>
    <w:rsid w:val="0042281F"/>
    <w:rsid w:val="00423F6C"/>
    <w:rsid w:val="00426410"/>
    <w:rsid w:val="004321F0"/>
    <w:rsid w:val="00435604"/>
    <w:rsid w:val="00435B60"/>
    <w:rsid w:val="004360D9"/>
    <w:rsid w:val="004401E6"/>
    <w:rsid w:val="004437B4"/>
    <w:rsid w:val="00444399"/>
    <w:rsid w:val="004470CE"/>
    <w:rsid w:val="004473CF"/>
    <w:rsid w:val="004504FF"/>
    <w:rsid w:val="00452F79"/>
    <w:rsid w:val="00453E20"/>
    <w:rsid w:val="00454F1B"/>
    <w:rsid w:val="0045515E"/>
    <w:rsid w:val="004601C4"/>
    <w:rsid w:val="00465598"/>
    <w:rsid w:val="00465AFF"/>
    <w:rsid w:val="00466058"/>
    <w:rsid w:val="00466335"/>
    <w:rsid w:val="00467623"/>
    <w:rsid w:val="004741B2"/>
    <w:rsid w:val="004803D9"/>
    <w:rsid w:val="00482902"/>
    <w:rsid w:val="00487CCF"/>
    <w:rsid w:val="00490F99"/>
    <w:rsid w:val="00493738"/>
    <w:rsid w:val="00495734"/>
    <w:rsid w:val="004A2919"/>
    <w:rsid w:val="004A39E2"/>
    <w:rsid w:val="004A6404"/>
    <w:rsid w:val="004A787A"/>
    <w:rsid w:val="004B0E14"/>
    <w:rsid w:val="004B14B3"/>
    <w:rsid w:val="004B15E2"/>
    <w:rsid w:val="004B2CC2"/>
    <w:rsid w:val="004B474F"/>
    <w:rsid w:val="004B47A6"/>
    <w:rsid w:val="004B5071"/>
    <w:rsid w:val="004B6720"/>
    <w:rsid w:val="004C0125"/>
    <w:rsid w:val="004C07B1"/>
    <w:rsid w:val="004C5B0B"/>
    <w:rsid w:val="004D063C"/>
    <w:rsid w:val="004D116B"/>
    <w:rsid w:val="004D3235"/>
    <w:rsid w:val="004E0F7A"/>
    <w:rsid w:val="004E19BA"/>
    <w:rsid w:val="004E5DF9"/>
    <w:rsid w:val="004F1EB6"/>
    <w:rsid w:val="004F2646"/>
    <w:rsid w:val="004F3E33"/>
    <w:rsid w:val="004F4C70"/>
    <w:rsid w:val="004F6024"/>
    <w:rsid w:val="004F6614"/>
    <w:rsid w:val="004F6FA2"/>
    <w:rsid w:val="00503AD8"/>
    <w:rsid w:val="00505340"/>
    <w:rsid w:val="00507BCB"/>
    <w:rsid w:val="00513832"/>
    <w:rsid w:val="005142CC"/>
    <w:rsid w:val="0051558C"/>
    <w:rsid w:val="00515EBD"/>
    <w:rsid w:val="00517331"/>
    <w:rsid w:val="005178C4"/>
    <w:rsid w:val="005179C7"/>
    <w:rsid w:val="00520CE2"/>
    <w:rsid w:val="005212BC"/>
    <w:rsid w:val="005219DC"/>
    <w:rsid w:val="00526C19"/>
    <w:rsid w:val="005273EA"/>
    <w:rsid w:val="005277E2"/>
    <w:rsid w:val="0053103B"/>
    <w:rsid w:val="005317D1"/>
    <w:rsid w:val="00532923"/>
    <w:rsid w:val="00533015"/>
    <w:rsid w:val="00535834"/>
    <w:rsid w:val="00536293"/>
    <w:rsid w:val="0053712C"/>
    <w:rsid w:val="005404E2"/>
    <w:rsid w:val="0054071B"/>
    <w:rsid w:val="00542B6A"/>
    <w:rsid w:val="005445AD"/>
    <w:rsid w:val="005473AF"/>
    <w:rsid w:val="0055299B"/>
    <w:rsid w:val="00553B48"/>
    <w:rsid w:val="00554F64"/>
    <w:rsid w:val="00556CB3"/>
    <w:rsid w:val="0055755D"/>
    <w:rsid w:val="00565FC0"/>
    <w:rsid w:val="00567D58"/>
    <w:rsid w:val="00570EDF"/>
    <w:rsid w:val="00571627"/>
    <w:rsid w:val="00572928"/>
    <w:rsid w:val="0057426C"/>
    <w:rsid w:val="00580076"/>
    <w:rsid w:val="0058304D"/>
    <w:rsid w:val="00583A3A"/>
    <w:rsid w:val="00584D10"/>
    <w:rsid w:val="00585F27"/>
    <w:rsid w:val="005878F2"/>
    <w:rsid w:val="005A18D2"/>
    <w:rsid w:val="005B169C"/>
    <w:rsid w:val="005B29BE"/>
    <w:rsid w:val="005B4C4B"/>
    <w:rsid w:val="005B6CB9"/>
    <w:rsid w:val="005C0AFB"/>
    <w:rsid w:val="005C1C6A"/>
    <w:rsid w:val="005C2B82"/>
    <w:rsid w:val="005C4B23"/>
    <w:rsid w:val="005C4BBD"/>
    <w:rsid w:val="005C71C3"/>
    <w:rsid w:val="005C7328"/>
    <w:rsid w:val="005C763D"/>
    <w:rsid w:val="005D008C"/>
    <w:rsid w:val="005D26D8"/>
    <w:rsid w:val="005D286B"/>
    <w:rsid w:val="005D3B46"/>
    <w:rsid w:val="005D5805"/>
    <w:rsid w:val="005D79C7"/>
    <w:rsid w:val="005D7D01"/>
    <w:rsid w:val="005E0986"/>
    <w:rsid w:val="005E1CA4"/>
    <w:rsid w:val="005E389A"/>
    <w:rsid w:val="005E405F"/>
    <w:rsid w:val="005E57B8"/>
    <w:rsid w:val="005E77E5"/>
    <w:rsid w:val="005F11F8"/>
    <w:rsid w:val="005F2CF2"/>
    <w:rsid w:val="005F31EF"/>
    <w:rsid w:val="005F5F82"/>
    <w:rsid w:val="005F6806"/>
    <w:rsid w:val="005F6BA7"/>
    <w:rsid w:val="00601BE4"/>
    <w:rsid w:val="00601C04"/>
    <w:rsid w:val="006037F7"/>
    <w:rsid w:val="0060415A"/>
    <w:rsid w:val="00606D93"/>
    <w:rsid w:val="00617F75"/>
    <w:rsid w:val="00620861"/>
    <w:rsid w:val="006247A3"/>
    <w:rsid w:val="0062482A"/>
    <w:rsid w:val="006274AA"/>
    <w:rsid w:val="00633382"/>
    <w:rsid w:val="006342A8"/>
    <w:rsid w:val="00635143"/>
    <w:rsid w:val="00640B23"/>
    <w:rsid w:val="006417C1"/>
    <w:rsid w:val="00643115"/>
    <w:rsid w:val="00644A4B"/>
    <w:rsid w:val="006461E8"/>
    <w:rsid w:val="006473DC"/>
    <w:rsid w:val="00647AA9"/>
    <w:rsid w:val="00652E73"/>
    <w:rsid w:val="0065464B"/>
    <w:rsid w:val="00654FDA"/>
    <w:rsid w:val="00655AB0"/>
    <w:rsid w:val="006567DF"/>
    <w:rsid w:val="0066184C"/>
    <w:rsid w:val="00662739"/>
    <w:rsid w:val="00662FD7"/>
    <w:rsid w:val="00664313"/>
    <w:rsid w:val="006657C7"/>
    <w:rsid w:val="00670093"/>
    <w:rsid w:val="0067013A"/>
    <w:rsid w:val="0067035B"/>
    <w:rsid w:val="00670A4F"/>
    <w:rsid w:val="00671B39"/>
    <w:rsid w:val="00672D70"/>
    <w:rsid w:val="00682F50"/>
    <w:rsid w:val="00683E6D"/>
    <w:rsid w:val="006865C5"/>
    <w:rsid w:val="006870AA"/>
    <w:rsid w:val="006959F2"/>
    <w:rsid w:val="00696183"/>
    <w:rsid w:val="00696254"/>
    <w:rsid w:val="00696346"/>
    <w:rsid w:val="00696D2E"/>
    <w:rsid w:val="006A086C"/>
    <w:rsid w:val="006A2198"/>
    <w:rsid w:val="006A4E7D"/>
    <w:rsid w:val="006A4F15"/>
    <w:rsid w:val="006A4F7B"/>
    <w:rsid w:val="006B0735"/>
    <w:rsid w:val="006B0DC1"/>
    <w:rsid w:val="006B1ECC"/>
    <w:rsid w:val="006B39A3"/>
    <w:rsid w:val="006B6C01"/>
    <w:rsid w:val="006B7864"/>
    <w:rsid w:val="006C0031"/>
    <w:rsid w:val="006C252A"/>
    <w:rsid w:val="006C2842"/>
    <w:rsid w:val="006C6883"/>
    <w:rsid w:val="006C6BCE"/>
    <w:rsid w:val="006C6E8D"/>
    <w:rsid w:val="006D1EA3"/>
    <w:rsid w:val="006D1FC4"/>
    <w:rsid w:val="006D28C7"/>
    <w:rsid w:val="006D623F"/>
    <w:rsid w:val="006D69BB"/>
    <w:rsid w:val="006D6B71"/>
    <w:rsid w:val="006E140E"/>
    <w:rsid w:val="006E15E3"/>
    <w:rsid w:val="006E2AD5"/>
    <w:rsid w:val="006E3AB6"/>
    <w:rsid w:val="006E601D"/>
    <w:rsid w:val="006E73F9"/>
    <w:rsid w:val="006F0AE5"/>
    <w:rsid w:val="006F3450"/>
    <w:rsid w:val="006F4229"/>
    <w:rsid w:val="006F4D0F"/>
    <w:rsid w:val="006F6A19"/>
    <w:rsid w:val="006F6BD9"/>
    <w:rsid w:val="0070210A"/>
    <w:rsid w:val="00704B0D"/>
    <w:rsid w:val="00705022"/>
    <w:rsid w:val="00705F36"/>
    <w:rsid w:val="00710799"/>
    <w:rsid w:val="007139D4"/>
    <w:rsid w:val="00713FD7"/>
    <w:rsid w:val="00720E5C"/>
    <w:rsid w:val="00723F29"/>
    <w:rsid w:val="007257E3"/>
    <w:rsid w:val="00731595"/>
    <w:rsid w:val="00732031"/>
    <w:rsid w:val="00734024"/>
    <w:rsid w:val="00734FF0"/>
    <w:rsid w:val="00735869"/>
    <w:rsid w:val="0073612E"/>
    <w:rsid w:val="007372CB"/>
    <w:rsid w:val="007378F9"/>
    <w:rsid w:val="00740EAB"/>
    <w:rsid w:val="00741419"/>
    <w:rsid w:val="0074147A"/>
    <w:rsid w:val="007427FB"/>
    <w:rsid w:val="00751267"/>
    <w:rsid w:val="007538C1"/>
    <w:rsid w:val="0075625E"/>
    <w:rsid w:val="007572CA"/>
    <w:rsid w:val="00760CB1"/>
    <w:rsid w:val="0076152B"/>
    <w:rsid w:val="0076222E"/>
    <w:rsid w:val="00763E84"/>
    <w:rsid w:val="00763F2D"/>
    <w:rsid w:val="0076641F"/>
    <w:rsid w:val="0076791C"/>
    <w:rsid w:val="0077001E"/>
    <w:rsid w:val="007759B5"/>
    <w:rsid w:val="00776AD9"/>
    <w:rsid w:val="00777E6F"/>
    <w:rsid w:val="00777F1D"/>
    <w:rsid w:val="00780A11"/>
    <w:rsid w:val="00781E06"/>
    <w:rsid w:val="007835D0"/>
    <w:rsid w:val="00783DC2"/>
    <w:rsid w:val="00784B2D"/>
    <w:rsid w:val="00787EB3"/>
    <w:rsid w:val="00790857"/>
    <w:rsid w:val="00791F35"/>
    <w:rsid w:val="00792D46"/>
    <w:rsid w:val="00795599"/>
    <w:rsid w:val="00795BC5"/>
    <w:rsid w:val="00796606"/>
    <w:rsid w:val="0079685A"/>
    <w:rsid w:val="007A078B"/>
    <w:rsid w:val="007A09E2"/>
    <w:rsid w:val="007A18D8"/>
    <w:rsid w:val="007A1E7A"/>
    <w:rsid w:val="007A2A9A"/>
    <w:rsid w:val="007A2D74"/>
    <w:rsid w:val="007A2D86"/>
    <w:rsid w:val="007A34E6"/>
    <w:rsid w:val="007A44F2"/>
    <w:rsid w:val="007B2A05"/>
    <w:rsid w:val="007B3603"/>
    <w:rsid w:val="007B3769"/>
    <w:rsid w:val="007B474D"/>
    <w:rsid w:val="007B50AF"/>
    <w:rsid w:val="007B513A"/>
    <w:rsid w:val="007B7EAF"/>
    <w:rsid w:val="007C36CF"/>
    <w:rsid w:val="007C6586"/>
    <w:rsid w:val="007D32BA"/>
    <w:rsid w:val="007D3730"/>
    <w:rsid w:val="007D3B1C"/>
    <w:rsid w:val="007D4E24"/>
    <w:rsid w:val="007D553D"/>
    <w:rsid w:val="007D7142"/>
    <w:rsid w:val="007E0BDA"/>
    <w:rsid w:val="007E1C7D"/>
    <w:rsid w:val="007E490E"/>
    <w:rsid w:val="007E5CA7"/>
    <w:rsid w:val="007E677D"/>
    <w:rsid w:val="007E6F3D"/>
    <w:rsid w:val="007F032A"/>
    <w:rsid w:val="007F10DC"/>
    <w:rsid w:val="007F15B5"/>
    <w:rsid w:val="007F391C"/>
    <w:rsid w:val="007F418E"/>
    <w:rsid w:val="007F66B0"/>
    <w:rsid w:val="007F7116"/>
    <w:rsid w:val="008006B5"/>
    <w:rsid w:val="00801E16"/>
    <w:rsid w:val="0080225C"/>
    <w:rsid w:val="00802DEA"/>
    <w:rsid w:val="00804E24"/>
    <w:rsid w:val="00805FE6"/>
    <w:rsid w:val="00811B08"/>
    <w:rsid w:val="008127A6"/>
    <w:rsid w:val="00815973"/>
    <w:rsid w:val="00815C01"/>
    <w:rsid w:val="00816623"/>
    <w:rsid w:val="00817478"/>
    <w:rsid w:val="008215CB"/>
    <w:rsid w:val="00824F13"/>
    <w:rsid w:val="008255C5"/>
    <w:rsid w:val="008276DD"/>
    <w:rsid w:val="0083071E"/>
    <w:rsid w:val="00833DC8"/>
    <w:rsid w:val="0083773C"/>
    <w:rsid w:val="008429DE"/>
    <w:rsid w:val="00845D6F"/>
    <w:rsid w:val="00846B54"/>
    <w:rsid w:val="00846D11"/>
    <w:rsid w:val="00847090"/>
    <w:rsid w:val="0084746A"/>
    <w:rsid w:val="00847BE4"/>
    <w:rsid w:val="008515EE"/>
    <w:rsid w:val="008560F2"/>
    <w:rsid w:val="00857769"/>
    <w:rsid w:val="00862F05"/>
    <w:rsid w:val="0086319E"/>
    <w:rsid w:val="00863CEC"/>
    <w:rsid w:val="0086510F"/>
    <w:rsid w:val="00866CED"/>
    <w:rsid w:val="00871AD5"/>
    <w:rsid w:val="008721C1"/>
    <w:rsid w:val="00872EA3"/>
    <w:rsid w:val="008742B8"/>
    <w:rsid w:val="008761B8"/>
    <w:rsid w:val="00876711"/>
    <w:rsid w:val="00876F0B"/>
    <w:rsid w:val="008771FA"/>
    <w:rsid w:val="00877DEB"/>
    <w:rsid w:val="00882918"/>
    <w:rsid w:val="00882B1E"/>
    <w:rsid w:val="00883406"/>
    <w:rsid w:val="00884874"/>
    <w:rsid w:val="0088661D"/>
    <w:rsid w:val="00887AA7"/>
    <w:rsid w:val="00887FBB"/>
    <w:rsid w:val="0089099F"/>
    <w:rsid w:val="00890CD6"/>
    <w:rsid w:val="0089354D"/>
    <w:rsid w:val="008944FC"/>
    <w:rsid w:val="00894740"/>
    <w:rsid w:val="00896FFC"/>
    <w:rsid w:val="00897885"/>
    <w:rsid w:val="008A18A1"/>
    <w:rsid w:val="008A1DE5"/>
    <w:rsid w:val="008A215F"/>
    <w:rsid w:val="008A3803"/>
    <w:rsid w:val="008A61AF"/>
    <w:rsid w:val="008B0954"/>
    <w:rsid w:val="008B3512"/>
    <w:rsid w:val="008B48F4"/>
    <w:rsid w:val="008B4A28"/>
    <w:rsid w:val="008B4AF5"/>
    <w:rsid w:val="008B6D5A"/>
    <w:rsid w:val="008B7AC0"/>
    <w:rsid w:val="008C1165"/>
    <w:rsid w:val="008C34BA"/>
    <w:rsid w:val="008C3889"/>
    <w:rsid w:val="008D25CD"/>
    <w:rsid w:val="008D261D"/>
    <w:rsid w:val="008D26D2"/>
    <w:rsid w:val="008D481F"/>
    <w:rsid w:val="008D497F"/>
    <w:rsid w:val="008D57BD"/>
    <w:rsid w:val="008E3098"/>
    <w:rsid w:val="008E3182"/>
    <w:rsid w:val="008E3D1F"/>
    <w:rsid w:val="008E4FA2"/>
    <w:rsid w:val="008E65F3"/>
    <w:rsid w:val="008E67FC"/>
    <w:rsid w:val="008F70F5"/>
    <w:rsid w:val="008F752D"/>
    <w:rsid w:val="00900443"/>
    <w:rsid w:val="00900491"/>
    <w:rsid w:val="00902B6E"/>
    <w:rsid w:val="009035FE"/>
    <w:rsid w:val="009078E8"/>
    <w:rsid w:val="00910104"/>
    <w:rsid w:val="00914C66"/>
    <w:rsid w:val="009157C5"/>
    <w:rsid w:val="0092315D"/>
    <w:rsid w:val="00926DEB"/>
    <w:rsid w:val="009300B4"/>
    <w:rsid w:val="00932FC8"/>
    <w:rsid w:val="0093336E"/>
    <w:rsid w:val="0093342D"/>
    <w:rsid w:val="00933DDC"/>
    <w:rsid w:val="00934014"/>
    <w:rsid w:val="0093415D"/>
    <w:rsid w:val="00934C12"/>
    <w:rsid w:val="00935C15"/>
    <w:rsid w:val="00936EFF"/>
    <w:rsid w:val="00937EB5"/>
    <w:rsid w:val="00941A27"/>
    <w:rsid w:val="0094489C"/>
    <w:rsid w:val="00946709"/>
    <w:rsid w:val="00947130"/>
    <w:rsid w:val="00950226"/>
    <w:rsid w:val="00952388"/>
    <w:rsid w:val="00953628"/>
    <w:rsid w:val="009627DF"/>
    <w:rsid w:val="009634C1"/>
    <w:rsid w:val="009637A1"/>
    <w:rsid w:val="00963E89"/>
    <w:rsid w:val="009700AD"/>
    <w:rsid w:val="009756FA"/>
    <w:rsid w:val="00975B7B"/>
    <w:rsid w:val="00977F0D"/>
    <w:rsid w:val="009830F0"/>
    <w:rsid w:val="00983AA3"/>
    <w:rsid w:val="00984C27"/>
    <w:rsid w:val="009869C3"/>
    <w:rsid w:val="00986AB8"/>
    <w:rsid w:val="00991967"/>
    <w:rsid w:val="00997624"/>
    <w:rsid w:val="009A1DB8"/>
    <w:rsid w:val="009A271C"/>
    <w:rsid w:val="009A2ADB"/>
    <w:rsid w:val="009A365B"/>
    <w:rsid w:val="009A6847"/>
    <w:rsid w:val="009A6F7E"/>
    <w:rsid w:val="009A7229"/>
    <w:rsid w:val="009B0501"/>
    <w:rsid w:val="009B20D7"/>
    <w:rsid w:val="009B354B"/>
    <w:rsid w:val="009B4E27"/>
    <w:rsid w:val="009B4F41"/>
    <w:rsid w:val="009B633E"/>
    <w:rsid w:val="009B7A44"/>
    <w:rsid w:val="009C086A"/>
    <w:rsid w:val="009C135D"/>
    <w:rsid w:val="009C2AC0"/>
    <w:rsid w:val="009C2CA2"/>
    <w:rsid w:val="009C4569"/>
    <w:rsid w:val="009C5DCC"/>
    <w:rsid w:val="009D065B"/>
    <w:rsid w:val="009D16E4"/>
    <w:rsid w:val="009D3F4A"/>
    <w:rsid w:val="009E030A"/>
    <w:rsid w:val="009E0A29"/>
    <w:rsid w:val="009E0B61"/>
    <w:rsid w:val="009E10FB"/>
    <w:rsid w:val="009E4AE9"/>
    <w:rsid w:val="009E62A4"/>
    <w:rsid w:val="009E73BB"/>
    <w:rsid w:val="009E780F"/>
    <w:rsid w:val="009E78B5"/>
    <w:rsid w:val="009E7E6B"/>
    <w:rsid w:val="009F1A07"/>
    <w:rsid w:val="009F23C6"/>
    <w:rsid w:val="009F251B"/>
    <w:rsid w:val="009F278A"/>
    <w:rsid w:val="009F3F64"/>
    <w:rsid w:val="009F5C5F"/>
    <w:rsid w:val="009F679A"/>
    <w:rsid w:val="00A01E8D"/>
    <w:rsid w:val="00A05F6F"/>
    <w:rsid w:val="00A14D20"/>
    <w:rsid w:val="00A17229"/>
    <w:rsid w:val="00A2351D"/>
    <w:rsid w:val="00A242E6"/>
    <w:rsid w:val="00A25CB0"/>
    <w:rsid w:val="00A272A6"/>
    <w:rsid w:val="00A2790C"/>
    <w:rsid w:val="00A27B16"/>
    <w:rsid w:val="00A34758"/>
    <w:rsid w:val="00A34766"/>
    <w:rsid w:val="00A353CC"/>
    <w:rsid w:val="00A35664"/>
    <w:rsid w:val="00A35F4F"/>
    <w:rsid w:val="00A36DE1"/>
    <w:rsid w:val="00A37874"/>
    <w:rsid w:val="00A411CA"/>
    <w:rsid w:val="00A41B8A"/>
    <w:rsid w:val="00A42408"/>
    <w:rsid w:val="00A43212"/>
    <w:rsid w:val="00A4529E"/>
    <w:rsid w:val="00A468D1"/>
    <w:rsid w:val="00A47B13"/>
    <w:rsid w:val="00A47C04"/>
    <w:rsid w:val="00A51EAB"/>
    <w:rsid w:val="00A53554"/>
    <w:rsid w:val="00A53B13"/>
    <w:rsid w:val="00A551C6"/>
    <w:rsid w:val="00A56856"/>
    <w:rsid w:val="00A60057"/>
    <w:rsid w:val="00A6141A"/>
    <w:rsid w:val="00A631ED"/>
    <w:rsid w:val="00A6397E"/>
    <w:rsid w:val="00A661BF"/>
    <w:rsid w:val="00A70886"/>
    <w:rsid w:val="00A70AF9"/>
    <w:rsid w:val="00A715F2"/>
    <w:rsid w:val="00A722C3"/>
    <w:rsid w:val="00A72DA6"/>
    <w:rsid w:val="00A7405C"/>
    <w:rsid w:val="00A76136"/>
    <w:rsid w:val="00A76C59"/>
    <w:rsid w:val="00A76CB2"/>
    <w:rsid w:val="00A807E0"/>
    <w:rsid w:val="00A809C8"/>
    <w:rsid w:val="00A82DFF"/>
    <w:rsid w:val="00A84D52"/>
    <w:rsid w:val="00A853CC"/>
    <w:rsid w:val="00A8759C"/>
    <w:rsid w:val="00A877D2"/>
    <w:rsid w:val="00A954A8"/>
    <w:rsid w:val="00A95CC0"/>
    <w:rsid w:val="00AA2AC6"/>
    <w:rsid w:val="00AA328E"/>
    <w:rsid w:val="00AA3F9A"/>
    <w:rsid w:val="00AA4493"/>
    <w:rsid w:val="00AA66D2"/>
    <w:rsid w:val="00AA79E0"/>
    <w:rsid w:val="00AB284A"/>
    <w:rsid w:val="00AB50A0"/>
    <w:rsid w:val="00AB6148"/>
    <w:rsid w:val="00AC01E2"/>
    <w:rsid w:val="00AC2FA0"/>
    <w:rsid w:val="00AC4826"/>
    <w:rsid w:val="00AC5F53"/>
    <w:rsid w:val="00AC6895"/>
    <w:rsid w:val="00AC6DA2"/>
    <w:rsid w:val="00AD0A29"/>
    <w:rsid w:val="00AD20A9"/>
    <w:rsid w:val="00AD258E"/>
    <w:rsid w:val="00AD3FA3"/>
    <w:rsid w:val="00AD4050"/>
    <w:rsid w:val="00AD49D8"/>
    <w:rsid w:val="00AD5DD5"/>
    <w:rsid w:val="00AD735F"/>
    <w:rsid w:val="00AE383C"/>
    <w:rsid w:val="00AE7E4E"/>
    <w:rsid w:val="00AF2AFC"/>
    <w:rsid w:val="00AF35FA"/>
    <w:rsid w:val="00AF4472"/>
    <w:rsid w:val="00AF62AC"/>
    <w:rsid w:val="00AF645E"/>
    <w:rsid w:val="00B10355"/>
    <w:rsid w:val="00B1275F"/>
    <w:rsid w:val="00B159C5"/>
    <w:rsid w:val="00B178D7"/>
    <w:rsid w:val="00B20100"/>
    <w:rsid w:val="00B225B3"/>
    <w:rsid w:val="00B2384A"/>
    <w:rsid w:val="00B25F39"/>
    <w:rsid w:val="00B265AE"/>
    <w:rsid w:val="00B276ED"/>
    <w:rsid w:val="00B27A82"/>
    <w:rsid w:val="00B300A0"/>
    <w:rsid w:val="00B31666"/>
    <w:rsid w:val="00B31FA2"/>
    <w:rsid w:val="00B3473B"/>
    <w:rsid w:val="00B35446"/>
    <w:rsid w:val="00B40614"/>
    <w:rsid w:val="00B41BF4"/>
    <w:rsid w:val="00B426C2"/>
    <w:rsid w:val="00B4308C"/>
    <w:rsid w:val="00B43B78"/>
    <w:rsid w:val="00B4583B"/>
    <w:rsid w:val="00B46321"/>
    <w:rsid w:val="00B46C78"/>
    <w:rsid w:val="00B5152E"/>
    <w:rsid w:val="00B56D32"/>
    <w:rsid w:val="00B605AA"/>
    <w:rsid w:val="00B6426E"/>
    <w:rsid w:val="00B66141"/>
    <w:rsid w:val="00B678EF"/>
    <w:rsid w:val="00B67EBF"/>
    <w:rsid w:val="00B70CDC"/>
    <w:rsid w:val="00B7202F"/>
    <w:rsid w:val="00B73D9B"/>
    <w:rsid w:val="00B8212C"/>
    <w:rsid w:val="00B8490F"/>
    <w:rsid w:val="00B85F3B"/>
    <w:rsid w:val="00B87545"/>
    <w:rsid w:val="00B90432"/>
    <w:rsid w:val="00B94E2B"/>
    <w:rsid w:val="00B96AA2"/>
    <w:rsid w:val="00B97AE5"/>
    <w:rsid w:val="00BA113D"/>
    <w:rsid w:val="00BA1834"/>
    <w:rsid w:val="00BA1E6A"/>
    <w:rsid w:val="00BA7463"/>
    <w:rsid w:val="00BB0AD2"/>
    <w:rsid w:val="00BB2493"/>
    <w:rsid w:val="00BB324A"/>
    <w:rsid w:val="00BC3213"/>
    <w:rsid w:val="00BC3F41"/>
    <w:rsid w:val="00BC433C"/>
    <w:rsid w:val="00BC4564"/>
    <w:rsid w:val="00BC45F3"/>
    <w:rsid w:val="00BC6846"/>
    <w:rsid w:val="00BC7CD7"/>
    <w:rsid w:val="00BD18BB"/>
    <w:rsid w:val="00BD3812"/>
    <w:rsid w:val="00BD38B6"/>
    <w:rsid w:val="00BD3A99"/>
    <w:rsid w:val="00BD3EE0"/>
    <w:rsid w:val="00BD3FFB"/>
    <w:rsid w:val="00BE2681"/>
    <w:rsid w:val="00BE2973"/>
    <w:rsid w:val="00BE3189"/>
    <w:rsid w:val="00BE4C7D"/>
    <w:rsid w:val="00BF0562"/>
    <w:rsid w:val="00BF1BA0"/>
    <w:rsid w:val="00BF2234"/>
    <w:rsid w:val="00BF2956"/>
    <w:rsid w:val="00BF7A70"/>
    <w:rsid w:val="00C02422"/>
    <w:rsid w:val="00C02F00"/>
    <w:rsid w:val="00C039C8"/>
    <w:rsid w:val="00C05D80"/>
    <w:rsid w:val="00C07E93"/>
    <w:rsid w:val="00C07FC6"/>
    <w:rsid w:val="00C10467"/>
    <w:rsid w:val="00C12A27"/>
    <w:rsid w:val="00C15E82"/>
    <w:rsid w:val="00C2224B"/>
    <w:rsid w:val="00C2241D"/>
    <w:rsid w:val="00C22CF0"/>
    <w:rsid w:val="00C23F99"/>
    <w:rsid w:val="00C27266"/>
    <w:rsid w:val="00C279BA"/>
    <w:rsid w:val="00C27B50"/>
    <w:rsid w:val="00C3208F"/>
    <w:rsid w:val="00C32A94"/>
    <w:rsid w:val="00C32B50"/>
    <w:rsid w:val="00C33009"/>
    <w:rsid w:val="00C365CF"/>
    <w:rsid w:val="00C41D4B"/>
    <w:rsid w:val="00C43A70"/>
    <w:rsid w:val="00C44B04"/>
    <w:rsid w:val="00C5238B"/>
    <w:rsid w:val="00C53E37"/>
    <w:rsid w:val="00C540D2"/>
    <w:rsid w:val="00C54A11"/>
    <w:rsid w:val="00C60375"/>
    <w:rsid w:val="00C6190B"/>
    <w:rsid w:val="00C642D1"/>
    <w:rsid w:val="00C64750"/>
    <w:rsid w:val="00C66DBF"/>
    <w:rsid w:val="00C67BAB"/>
    <w:rsid w:val="00C70764"/>
    <w:rsid w:val="00C72B9D"/>
    <w:rsid w:val="00C74C95"/>
    <w:rsid w:val="00C74E83"/>
    <w:rsid w:val="00C74EFA"/>
    <w:rsid w:val="00C75BBC"/>
    <w:rsid w:val="00C76714"/>
    <w:rsid w:val="00C77614"/>
    <w:rsid w:val="00C77A4C"/>
    <w:rsid w:val="00C82BBB"/>
    <w:rsid w:val="00C83864"/>
    <w:rsid w:val="00C86482"/>
    <w:rsid w:val="00C87F35"/>
    <w:rsid w:val="00C90002"/>
    <w:rsid w:val="00C90022"/>
    <w:rsid w:val="00C92888"/>
    <w:rsid w:val="00C92B6B"/>
    <w:rsid w:val="00C93D6F"/>
    <w:rsid w:val="00C9472F"/>
    <w:rsid w:val="00CA1A02"/>
    <w:rsid w:val="00CA4C8B"/>
    <w:rsid w:val="00CA5781"/>
    <w:rsid w:val="00CB0008"/>
    <w:rsid w:val="00CB066E"/>
    <w:rsid w:val="00CB43EF"/>
    <w:rsid w:val="00CB526E"/>
    <w:rsid w:val="00CB63ED"/>
    <w:rsid w:val="00CC07A4"/>
    <w:rsid w:val="00CC60F5"/>
    <w:rsid w:val="00CC694B"/>
    <w:rsid w:val="00CD4055"/>
    <w:rsid w:val="00CD664E"/>
    <w:rsid w:val="00CE2AD7"/>
    <w:rsid w:val="00CE351E"/>
    <w:rsid w:val="00CF35B0"/>
    <w:rsid w:val="00CF3D73"/>
    <w:rsid w:val="00CF42E2"/>
    <w:rsid w:val="00CF53BD"/>
    <w:rsid w:val="00CF5DB2"/>
    <w:rsid w:val="00CF6EDD"/>
    <w:rsid w:val="00CF76EF"/>
    <w:rsid w:val="00CF7CCE"/>
    <w:rsid w:val="00CF7FAF"/>
    <w:rsid w:val="00D02E74"/>
    <w:rsid w:val="00D04B4E"/>
    <w:rsid w:val="00D04BEF"/>
    <w:rsid w:val="00D05205"/>
    <w:rsid w:val="00D06290"/>
    <w:rsid w:val="00D06381"/>
    <w:rsid w:val="00D07A8A"/>
    <w:rsid w:val="00D13FFA"/>
    <w:rsid w:val="00D16462"/>
    <w:rsid w:val="00D16A70"/>
    <w:rsid w:val="00D16B61"/>
    <w:rsid w:val="00D24592"/>
    <w:rsid w:val="00D2675E"/>
    <w:rsid w:val="00D26A6C"/>
    <w:rsid w:val="00D30C30"/>
    <w:rsid w:val="00D32DB4"/>
    <w:rsid w:val="00D32F56"/>
    <w:rsid w:val="00D33BD1"/>
    <w:rsid w:val="00D37127"/>
    <w:rsid w:val="00D41069"/>
    <w:rsid w:val="00D43AAF"/>
    <w:rsid w:val="00D47366"/>
    <w:rsid w:val="00D476C4"/>
    <w:rsid w:val="00D505C4"/>
    <w:rsid w:val="00D52C9A"/>
    <w:rsid w:val="00D55A96"/>
    <w:rsid w:val="00D6144B"/>
    <w:rsid w:val="00D6446D"/>
    <w:rsid w:val="00D655F0"/>
    <w:rsid w:val="00D67717"/>
    <w:rsid w:val="00D72A1E"/>
    <w:rsid w:val="00D72CED"/>
    <w:rsid w:val="00D73C15"/>
    <w:rsid w:val="00D77BF7"/>
    <w:rsid w:val="00D8057C"/>
    <w:rsid w:val="00D80B06"/>
    <w:rsid w:val="00D812C8"/>
    <w:rsid w:val="00D86C96"/>
    <w:rsid w:val="00D91CC8"/>
    <w:rsid w:val="00DA12CA"/>
    <w:rsid w:val="00DA3630"/>
    <w:rsid w:val="00DA3F5A"/>
    <w:rsid w:val="00DA43F4"/>
    <w:rsid w:val="00DA4955"/>
    <w:rsid w:val="00DA63B0"/>
    <w:rsid w:val="00DB068E"/>
    <w:rsid w:val="00DB1134"/>
    <w:rsid w:val="00DB2E0B"/>
    <w:rsid w:val="00DB3811"/>
    <w:rsid w:val="00DB4975"/>
    <w:rsid w:val="00DB581F"/>
    <w:rsid w:val="00DB5851"/>
    <w:rsid w:val="00DC1F01"/>
    <w:rsid w:val="00DC21B9"/>
    <w:rsid w:val="00DC2BCF"/>
    <w:rsid w:val="00DC6126"/>
    <w:rsid w:val="00DD10CF"/>
    <w:rsid w:val="00DD2390"/>
    <w:rsid w:val="00DD35E2"/>
    <w:rsid w:val="00DD6045"/>
    <w:rsid w:val="00DD6DBD"/>
    <w:rsid w:val="00DE0F66"/>
    <w:rsid w:val="00DE141A"/>
    <w:rsid w:val="00DE79C8"/>
    <w:rsid w:val="00DF10CA"/>
    <w:rsid w:val="00E003D3"/>
    <w:rsid w:val="00E038C0"/>
    <w:rsid w:val="00E047FA"/>
    <w:rsid w:val="00E0577A"/>
    <w:rsid w:val="00E06B00"/>
    <w:rsid w:val="00E072BC"/>
    <w:rsid w:val="00E10727"/>
    <w:rsid w:val="00E116E8"/>
    <w:rsid w:val="00E11DD2"/>
    <w:rsid w:val="00E1490F"/>
    <w:rsid w:val="00E16758"/>
    <w:rsid w:val="00E179E0"/>
    <w:rsid w:val="00E17D25"/>
    <w:rsid w:val="00E22670"/>
    <w:rsid w:val="00E250F0"/>
    <w:rsid w:val="00E255B5"/>
    <w:rsid w:val="00E3025A"/>
    <w:rsid w:val="00E304FE"/>
    <w:rsid w:val="00E30755"/>
    <w:rsid w:val="00E31004"/>
    <w:rsid w:val="00E3114D"/>
    <w:rsid w:val="00E337D6"/>
    <w:rsid w:val="00E362F7"/>
    <w:rsid w:val="00E43AA8"/>
    <w:rsid w:val="00E45100"/>
    <w:rsid w:val="00E4588E"/>
    <w:rsid w:val="00E45951"/>
    <w:rsid w:val="00E46A51"/>
    <w:rsid w:val="00E472B6"/>
    <w:rsid w:val="00E47495"/>
    <w:rsid w:val="00E50568"/>
    <w:rsid w:val="00E53E9B"/>
    <w:rsid w:val="00E5434A"/>
    <w:rsid w:val="00E54C83"/>
    <w:rsid w:val="00E55494"/>
    <w:rsid w:val="00E564E1"/>
    <w:rsid w:val="00E56C8A"/>
    <w:rsid w:val="00E57A0F"/>
    <w:rsid w:val="00E617DD"/>
    <w:rsid w:val="00E61FDF"/>
    <w:rsid w:val="00E64A74"/>
    <w:rsid w:val="00E65D31"/>
    <w:rsid w:val="00E66C0E"/>
    <w:rsid w:val="00E71C74"/>
    <w:rsid w:val="00E72564"/>
    <w:rsid w:val="00E77D3D"/>
    <w:rsid w:val="00E8091F"/>
    <w:rsid w:val="00E82CF5"/>
    <w:rsid w:val="00E8643F"/>
    <w:rsid w:val="00E90501"/>
    <w:rsid w:val="00E91428"/>
    <w:rsid w:val="00E97A8F"/>
    <w:rsid w:val="00EA1CBD"/>
    <w:rsid w:val="00EA2149"/>
    <w:rsid w:val="00EA5055"/>
    <w:rsid w:val="00EA606D"/>
    <w:rsid w:val="00EA7D68"/>
    <w:rsid w:val="00EA7FCB"/>
    <w:rsid w:val="00EB2CCF"/>
    <w:rsid w:val="00EB3184"/>
    <w:rsid w:val="00EB3510"/>
    <w:rsid w:val="00EB4A2E"/>
    <w:rsid w:val="00EB5867"/>
    <w:rsid w:val="00EC2548"/>
    <w:rsid w:val="00EC27C3"/>
    <w:rsid w:val="00EC28E4"/>
    <w:rsid w:val="00EC2DC2"/>
    <w:rsid w:val="00EC4BBA"/>
    <w:rsid w:val="00EC5530"/>
    <w:rsid w:val="00EC5AE9"/>
    <w:rsid w:val="00EC6E6C"/>
    <w:rsid w:val="00ED3254"/>
    <w:rsid w:val="00ED3834"/>
    <w:rsid w:val="00ED3A2B"/>
    <w:rsid w:val="00ED6D5C"/>
    <w:rsid w:val="00ED6D6D"/>
    <w:rsid w:val="00EE01B4"/>
    <w:rsid w:val="00EE0D17"/>
    <w:rsid w:val="00EE0D1E"/>
    <w:rsid w:val="00EE157A"/>
    <w:rsid w:val="00EE1D42"/>
    <w:rsid w:val="00EE4283"/>
    <w:rsid w:val="00EE42CB"/>
    <w:rsid w:val="00EE43E0"/>
    <w:rsid w:val="00EE4CDF"/>
    <w:rsid w:val="00EE67A8"/>
    <w:rsid w:val="00EE7D21"/>
    <w:rsid w:val="00EF2237"/>
    <w:rsid w:val="00EF2238"/>
    <w:rsid w:val="00EF4A26"/>
    <w:rsid w:val="00EF7C5B"/>
    <w:rsid w:val="00F02891"/>
    <w:rsid w:val="00F02F0F"/>
    <w:rsid w:val="00F0319B"/>
    <w:rsid w:val="00F04BC9"/>
    <w:rsid w:val="00F064E5"/>
    <w:rsid w:val="00F07496"/>
    <w:rsid w:val="00F102A4"/>
    <w:rsid w:val="00F2012C"/>
    <w:rsid w:val="00F20D69"/>
    <w:rsid w:val="00F22175"/>
    <w:rsid w:val="00F22E52"/>
    <w:rsid w:val="00F2440C"/>
    <w:rsid w:val="00F256A1"/>
    <w:rsid w:val="00F267B1"/>
    <w:rsid w:val="00F2712E"/>
    <w:rsid w:val="00F308E1"/>
    <w:rsid w:val="00F331F4"/>
    <w:rsid w:val="00F33EF1"/>
    <w:rsid w:val="00F3456C"/>
    <w:rsid w:val="00F353F9"/>
    <w:rsid w:val="00F354A1"/>
    <w:rsid w:val="00F35D3F"/>
    <w:rsid w:val="00F37AE5"/>
    <w:rsid w:val="00F37E49"/>
    <w:rsid w:val="00F404AB"/>
    <w:rsid w:val="00F40A55"/>
    <w:rsid w:val="00F43FB5"/>
    <w:rsid w:val="00F45063"/>
    <w:rsid w:val="00F467C8"/>
    <w:rsid w:val="00F47352"/>
    <w:rsid w:val="00F47ADB"/>
    <w:rsid w:val="00F47D65"/>
    <w:rsid w:val="00F5284A"/>
    <w:rsid w:val="00F53639"/>
    <w:rsid w:val="00F56214"/>
    <w:rsid w:val="00F62559"/>
    <w:rsid w:val="00F62AA3"/>
    <w:rsid w:val="00F63921"/>
    <w:rsid w:val="00F6535D"/>
    <w:rsid w:val="00F66130"/>
    <w:rsid w:val="00F67B02"/>
    <w:rsid w:val="00F7113B"/>
    <w:rsid w:val="00F7218D"/>
    <w:rsid w:val="00F73D9D"/>
    <w:rsid w:val="00F75653"/>
    <w:rsid w:val="00F75A1F"/>
    <w:rsid w:val="00F81072"/>
    <w:rsid w:val="00F822E8"/>
    <w:rsid w:val="00F8334B"/>
    <w:rsid w:val="00F84C1A"/>
    <w:rsid w:val="00F8545C"/>
    <w:rsid w:val="00F855BA"/>
    <w:rsid w:val="00F86C0A"/>
    <w:rsid w:val="00F86D96"/>
    <w:rsid w:val="00F90993"/>
    <w:rsid w:val="00F90FB1"/>
    <w:rsid w:val="00F91E61"/>
    <w:rsid w:val="00F94EFE"/>
    <w:rsid w:val="00F95167"/>
    <w:rsid w:val="00F95BB2"/>
    <w:rsid w:val="00F97DD5"/>
    <w:rsid w:val="00FA0794"/>
    <w:rsid w:val="00FA13B2"/>
    <w:rsid w:val="00FA2768"/>
    <w:rsid w:val="00FA65ED"/>
    <w:rsid w:val="00FB1133"/>
    <w:rsid w:val="00FB2959"/>
    <w:rsid w:val="00FC1915"/>
    <w:rsid w:val="00FC2128"/>
    <w:rsid w:val="00FC3B6C"/>
    <w:rsid w:val="00FC549B"/>
    <w:rsid w:val="00FD1A81"/>
    <w:rsid w:val="00FD2DB0"/>
    <w:rsid w:val="00FD33C7"/>
    <w:rsid w:val="00FE0EB3"/>
    <w:rsid w:val="00FE3218"/>
    <w:rsid w:val="00FE3617"/>
    <w:rsid w:val="00FE4F45"/>
    <w:rsid w:val="00FE7547"/>
    <w:rsid w:val="00FF3CB1"/>
    <w:rsid w:val="00FF6207"/>
    <w:rsid w:val="00FF65C7"/>
    <w:rsid w:val="00FF6F4F"/>
    <w:rsid w:val="00FF7474"/>
    <w:rsid w:val="00FF7521"/>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B09C1"/>
  <w15:docId w15:val="{0F3B3C4D-9218-4331-BF2D-345C34BD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3254"/>
    <w:pPr>
      <w:spacing w:after="160" w:line="278" w:lineRule="auto"/>
      <w:jc w:val="both"/>
    </w:pPr>
    <w:rPr>
      <w:lang w:val="lv-LV"/>
    </w:rPr>
  </w:style>
  <w:style w:type="paragraph" w:styleId="Virsraksts1">
    <w:name w:val="heading 1"/>
    <w:basedOn w:val="Virsraksts2"/>
    <w:next w:val="Pamatteksts"/>
    <w:qFormat/>
    <w:rsid w:val="0076641F"/>
    <w:pPr>
      <w:pageBreakBefore/>
      <w:numPr>
        <w:ilvl w:val="0"/>
      </w:numPr>
      <w:spacing w:before="0" w:line="360" w:lineRule="exact"/>
      <w:outlineLvl w:val="0"/>
    </w:pPr>
    <w:rPr>
      <w:sz w:val="32"/>
    </w:rPr>
  </w:style>
  <w:style w:type="paragraph" w:styleId="Virsraksts2">
    <w:name w:val="heading 2"/>
    <w:basedOn w:val="Pamatteksts"/>
    <w:next w:val="Pamatteksts"/>
    <w:qFormat/>
    <w:rsid w:val="00ED3254"/>
    <w:pPr>
      <w:keepNext/>
      <w:numPr>
        <w:ilvl w:val="1"/>
        <w:numId w:val="1"/>
      </w:numPr>
      <w:spacing w:before="400" w:after="120" w:line="320" w:lineRule="exact"/>
      <w:outlineLvl w:val="1"/>
    </w:pPr>
    <w:rPr>
      <w:b/>
      <w:color w:val="00338D"/>
      <w:sz w:val="28"/>
    </w:rPr>
  </w:style>
  <w:style w:type="paragraph" w:styleId="Virsraksts3">
    <w:name w:val="heading 3"/>
    <w:basedOn w:val="Virsraksts4"/>
    <w:next w:val="Pamatteksts"/>
    <w:link w:val="Virsraksts3Rakstz"/>
    <w:uiPriority w:val="9"/>
    <w:qFormat/>
    <w:rsid w:val="00876711"/>
    <w:pPr>
      <w:numPr>
        <w:ilvl w:val="2"/>
      </w:numPr>
      <w:spacing w:before="240" w:after="240"/>
      <w:outlineLvl w:val="2"/>
    </w:pPr>
    <w:rPr>
      <w:bCs/>
      <w:i w:val="0"/>
      <w:color w:val="000000" w:themeColor="text1"/>
      <w:sz w:val="22"/>
    </w:rPr>
  </w:style>
  <w:style w:type="paragraph" w:styleId="Virsraksts4">
    <w:name w:val="heading 4"/>
    <w:basedOn w:val="Virsraksts5"/>
    <w:next w:val="Pamatteksts"/>
    <w:qFormat/>
    <w:rsid w:val="0076641F"/>
    <w:pPr>
      <w:numPr>
        <w:ilvl w:val="3"/>
        <w:numId w:val="1"/>
      </w:numPr>
      <w:spacing w:line="280" w:lineRule="exact"/>
      <w:outlineLvl w:val="3"/>
    </w:pPr>
    <w:rPr>
      <w:b w:val="0"/>
      <w:sz w:val="24"/>
    </w:rPr>
  </w:style>
  <w:style w:type="paragraph" w:styleId="Virsraksts5">
    <w:name w:val="heading 5"/>
    <w:basedOn w:val="Pamatteksts"/>
    <w:next w:val="Pamatteksts"/>
    <w:qFormat/>
    <w:rsid w:val="00EA606D"/>
    <w:pPr>
      <w:keepNext/>
      <w:spacing w:before="400" w:after="0" w:line="260" w:lineRule="exact"/>
      <w:outlineLvl w:val="4"/>
    </w:pPr>
    <w:rPr>
      <w:b/>
      <w:i/>
      <w:color w:val="00338D"/>
    </w:rPr>
  </w:style>
  <w:style w:type="paragraph" w:styleId="Virsraksts6">
    <w:name w:val="heading 6"/>
    <w:basedOn w:val="Parasts"/>
    <w:next w:val="Parasts"/>
    <w:semiHidden/>
    <w:rsid w:val="0076641F"/>
    <w:pPr>
      <w:outlineLvl w:val="5"/>
    </w:pPr>
  </w:style>
  <w:style w:type="paragraph" w:styleId="Virsraksts7">
    <w:name w:val="heading 7"/>
    <w:basedOn w:val="Parasts"/>
    <w:next w:val="Parasts"/>
    <w:semiHidden/>
    <w:rsid w:val="0076641F"/>
    <w:pPr>
      <w:outlineLvl w:val="6"/>
    </w:pPr>
  </w:style>
  <w:style w:type="paragraph" w:styleId="Virsraksts8">
    <w:name w:val="heading 8"/>
    <w:basedOn w:val="Parasts"/>
    <w:next w:val="Parasts"/>
    <w:semiHidden/>
    <w:rsid w:val="0076641F"/>
    <w:pPr>
      <w:outlineLvl w:val="7"/>
    </w:pPr>
  </w:style>
  <w:style w:type="paragraph" w:styleId="Virsraksts9">
    <w:name w:val="heading 9"/>
    <w:basedOn w:val="Parasts"/>
    <w:next w:val="Parasts"/>
    <w:semiHidden/>
    <w:rsid w:val="0076641F"/>
    <w:pPr>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qFormat/>
    <w:rsid w:val="004D3235"/>
    <w:pPr>
      <w:spacing w:before="240" w:after="240"/>
    </w:pPr>
  </w:style>
  <w:style w:type="paragraph" w:styleId="Saturs4">
    <w:name w:val="toc 4"/>
    <w:basedOn w:val="Saturs3"/>
    <w:uiPriority w:val="9"/>
    <w:rsid w:val="00021AE3"/>
  </w:style>
  <w:style w:type="paragraph" w:styleId="Saturs3">
    <w:name w:val="toc 3"/>
    <w:basedOn w:val="Saturs2"/>
    <w:uiPriority w:val="39"/>
    <w:rsid w:val="00021AE3"/>
    <w:pPr>
      <w:tabs>
        <w:tab w:val="left" w:pos="1418"/>
      </w:tabs>
      <w:ind w:left="1418" w:hanging="1418"/>
    </w:pPr>
  </w:style>
  <w:style w:type="paragraph" w:styleId="Saturs2">
    <w:name w:val="toc 2"/>
    <w:basedOn w:val="Saturs1"/>
    <w:uiPriority w:val="39"/>
    <w:rsid w:val="00021AE3"/>
    <w:pPr>
      <w:spacing w:before="0"/>
    </w:pPr>
    <w:rPr>
      <w:sz w:val="24"/>
    </w:rPr>
  </w:style>
  <w:style w:type="paragraph" w:styleId="Saturs1">
    <w:name w:val="toc 1"/>
    <w:basedOn w:val="Parasts"/>
    <w:uiPriority w:val="39"/>
    <w:rsid w:val="004D3235"/>
    <w:pPr>
      <w:tabs>
        <w:tab w:val="right" w:pos="8505"/>
      </w:tabs>
      <w:spacing w:before="260"/>
      <w:ind w:left="850" w:right="567" w:hanging="850"/>
    </w:pPr>
    <w:rPr>
      <w:sz w:val="28"/>
    </w:rPr>
  </w:style>
  <w:style w:type="paragraph" w:styleId="Kjene">
    <w:name w:val="footer"/>
    <w:basedOn w:val="Parasts"/>
    <w:link w:val="KjeneRakstz"/>
    <w:uiPriority w:val="9"/>
    <w:rsid w:val="00021AE3"/>
    <w:pPr>
      <w:tabs>
        <w:tab w:val="right" w:pos="8222"/>
      </w:tabs>
    </w:pPr>
    <w:rPr>
      <w:sz w:val="18"/>
    </w:rPr>
  </w:style>
  <w:style w:type="paragraph" w:styleId="Galvene">
    <w:name w:val="header"/>
    <w:basedOn w:val="Parasts"/>
    <w:link w:val="GalveneRakstz"/>
    <w:uiPriority w:val="9"/>
    <w:rsid w:val="002E0312"/>
    <w:pPr>
      <w:spacing w:line="220" w:lineRule="atLeast"/>
    </w:pPr>
    <w:rPr>
      <w:sz w:val="18"/>
    </w:rPr>
  </w:style>
  <w:style w:type="paragraph" w:styleId="Sarakstaaizzme">
    <w:name w:val="List Bullet"/>
    <w:basedOn w:val="Pamatteksts"/>
    <w:qFormat/>
    <w:rsid w:val="00526C19"/>
    <w:pPr>
      <w:numPr>
        <w:numId w:val="5"/>
      </w:numPr>
      <w:spacing w:before="60" w:after="60"/>
    </w:pPr>
  </w:style>
  <w:style w:type="paragraph" w:styleId="Sarakstaaizzme2">
    <w:name w:val="List Bullet 2"/>
    <w:basedOn w:val="Sarakstaaizzme"/>
    <w:qFormat/>
    <w:rsid w:val="00021AE3"/>
    <w:pPr>
      <w:numPr>
        <w:ilvl w:val="1"/>
      </w:numPr>
    </w:pPr>
  </w:style>
  <w:style w:type="paragraph" w:customStyle="1" w:styleId="zreportname">
    <w:name w:val="zreport name"/>
    <w:basedOn w:val="Parasts"/>
    <w:uiPriority w:val="11"/>
    <w:rsid w:val="008742B8"/>
    <w:pPr>
      <w:keepLines/>
      <w:spacing w:after="120"/>
    </w:pPr>
    <w:rPr>
      <w:b/>
      <w:color w:val="00338D"/>
      <w:sz w:val="40"/>
    </w:rPr>
  </w:style>
  <w:style w:type="paragraph" w:customStyle="1" w:styleId="zcontents">
    <w:name w:val="zcontents"/>
    <w:basedOn w:val="Parasts"/>
    <w:uiPriority w:val="11"/>
    <w:rsid w:val="008761B8"/>
    <w:pPr>
      <w:spacing w:after="260"/>
    </w:pPr>
    <w:rPr>
      <w:b/>
      <w:color w:val="00338D"/>
      <w:sz w:val="32"/>
    </w:rPr>
  </w:style>
  <w:style w:type="paragraph" w:customStyle="1" w:styleId="zcompanyname">
    <w:name w:val="zcompany name"/>
    <w:basedOn w:val="Parasts"/>
    <w:uiPriority w:val="11"/>
    <w:rsid w:val="00672D70"/>
    <w:pPr>
      <w:spacing w:after="720" w:line="168" w:lineRule="auto"/>
    </w:pPr>
    <w:rPr>
      <w:rFonts w:ascii="KPMG Bold" w:hAnsi="KPMG Bold"/>
      <w:noProof/>
      <w:color w:val="00338D"/>
      <w:sz w:val="160"/>
      <w:szCs w:val="220"/>
    </w:rPr>
  </w:style>
  <w:style w:type="paragraph" w:styleId="Vresteksts">
    <w:name w:val="footnote text"/>
    <w:basedOn w:val="Parasts"/>
    <w:link w:val="VrestekstsRakstz"/>
    <w:uiPriority w:val="9"/>
    <w:rsid w:val="00021AE3"/>
    <w:rPr>
      <w:sz w:val="18"/>
    </w:rPr>
  </w:style>
  <w:style w:type="paragraph" w:customStyle="1" w:styleId="zreportsubtitle">
    <w:name w:val="zreport subtitle"/>
    <w:basedOn w:val="zreportname"/>
    <w:uiPriority w:val="11"/>
    <w:rsid w:val="004001D4"/>
    <w:rPr>
      <w:sz w:val="28"/>
    </w:rPr>
  </w:style>
  <w:style w:type="paragraph" w:styleId="Pamattekstsaratkpi">
    <w:name w:val="Body Text Indent"/>
    <w:basedOn w:val="Pamatteksts"/>
    <w:link w:val="PamattekstsaratkpiRakstz"/>
    <w:rsid w:val="00F94EFE"/>
    <w:pPr>
      <w:ind w:left="340"/>
    </w:pPr>
  </w:style>
  <w:style w:type="paragraph" w:styleId="Alfabtiskaisrdtjs1">
    <w:name w:val="index 1"/>
    <w:basedOn w:val="Parasts"/>
    <w:next w:val="Parasts"/>
    <w:uiPriority w:val="9"/>
    <w:rsid w:val="00021AE3"/>
    <w:pPr>
      <w:keepNext/>
      <w:spacing w:before="260" w:line="280" w:lineRule="exact"/>
      <w:ind w:right="851"/>
    </w:pPr>
    <w:rPr>
      <w:b/>
      <w:sz w:val="24"/>
    </w:rPr>
  </w:style>
  <w:style w:type="paragraph" w:customStyle="1" w:styleId="Graphic">
    <w:name w:val="Graphic"/>
    <w:basedOn w:val="Pamatteksts"/>
    <w:next w:val="Pamatteksts"/>
    <w:uiPriority w:val="5"/>
    <w:qFormat/>
    <w:rsid w:val="00D2675E"/>
    <w:pPr>
      <w:spacing w:before="280" w:after="140"/>
      <w:jc w:val="center"/>
    </w:pPr>
    <w:rPr>
      <w:rFonts w:eastAsia="Arial Unicode MS"/>
    </w:rPr>
  </w:style>
  <w:style w:type="paragraph" w:styleId="Paraksts">
    <w:name w:val="Signature"/>
    <w:basedOn w:val="Parasts"/>
    <w:uiPriority w:val="1"/>
    <w:unhideWhenUsed/>
    <w:rsid w:val="00021AE3"/>
  </w:style>
  <w:style w:type="character" w:styleId="Lappusesnumurs">
    <w:name w:val="page number"/>
    <w:basedOn w:val="Noklusjumarindkopasfonts"/>
    <w:uiPriority w:val="9"/>
    <w:rsid w:val="00F267B1"/>
    <w:rPr>
      <w:rFonts w:ascii="Arial" w:hAnsi="Arial"/>
      <w:sz w:val="22"/>
    </w:rPr>
  </w:style>
  <w:style w:type="paragraph" w:styleId="Alfabtiskaisrdtjs2">
    <w:name w:val="index 2"/>
    <w:basedOn w:val="Parasts"/>
    <w:next w:val="Parasts"/>
    <w:uiPriority w:val="9"/>
    <w:rsid w:val="00021AE3"/>
    <w:pPr>
      <w:ind w:left="340" w:right="851"/>
    </w:pPr>
  </w:style>
  <w:style w:type="paragraph" w:customStyle="1" w:styleId="zreportaddinfo">
    <w:name w:val="zreport addinfo"/>
    <w:basedOn w:val="Parasts"/>
    <w:uiPriority w:val="11"/>
    <w:rsid w:val="004001D4"/>
    <w:pPr>
      <w:framePr w:hSpace="181" w:wrap="around" w:vAnchor="page" w:hAnchor="margin" w:y="12475"/>
      <w:spacing w:after="120"/>
    </w:pPr>
    <w:rPr>
      <w:noProof/>
      <w:color w:val="00338D"/>
      <w:sz w:val="24"/>
    </w:rPr>
  </w:style>
  <w:style w:type="paragraph" w:customStyle="1" w:styleId="AppendixHeading">
    <w:name w:val="Appendix Heading"/>
    <w:basedOn w:val="AppendixHeading2"/>
    <w:next w:val="Pamatteksts"/>
    <w:qFormat/>
    <w:rsid w:val="00B94E2B"/>
    <w:pPr>
      <w:pageBreakBefore/>
      <w:numPr>
        <w:ilvl w:val="0"/>
      </w:numPr>
      <w:spacing w:before="0" w:line="360" w:lineRule="exact"/>
    </w:pPr>
    <w:rPr>
      <w:sz w:val="32"/>
    </w:rPr>
  </w:style>
  <w:style w:type="paragraph" w:styleId="Sarakstaaizzme3">
    <w:name w:val="List Bullet 3"/>
    <w:basedOn w:val="Sarakstaaizzme"/>
    <w:uiPriority w:val="99"/>
    <w:qFormat/>
    <w:rsid w:val="00DB068E"/>
    <w:pPr>
      <w:numPr>
        <w:ilvl w:val="2"/>
      </w:numPr>
    </w:pPr>
  </w:style>
  <w:style w:type="paragraph" w:customStyle="1" w:styleId="AppendixHeading2">
    <w:name w:val="Appendix Heading 2"/>
    <w:basedOn w:val="Pamatteksts"/>
    <w:next w:val="Pamatteksts"/>
    <w:qFormat/>
    <w:rsid w:val="00200CC7"/>
    <w:pPr>
      <w:numPr>
        <w:ilvl w:val="1"/>
        <w:numId w:val="4"/>
      </w:numPr>
      <w:spacing w:before="400" w:line="320" w:lineRule="exact"/>
    </w:pPr>
    <w:rPr>
      <w:b/>
      <w:color w:val="00338D" w:themeColor="text2"/>
      <w:sz w:val="28"/>
    </w:rPr>
  </w:style>
  <w:style w:type="paragraph" w:customStyle="1" w:styleId="AppendixHeading3">
    <w:name w:val="Appendix Heading 3"/>
    <w:basedOn w:val="Virsraksts3"/>
    <w:next w:val="Pamatteksts"/>
    <w:qFormat/>
    <w:rsid w:val="00200CC7"/>
    <w:pPr>
      <w:numPr>
        <w:numId w:val="4"/>
      </w:numPr>
      <w:outlineLvl w:val="9"/>
    </w:pPr>
  </w:style>
  <w:style w:type="paragraph" w:customStyle="1" w:styleId="AppendixHeading4">
    <w:name w:val="Appendix Heading 4"/>
    <w:basedOn w:val="Virsraksts4"/>
    <w:next w:val="Pamatteksts"/>
    <w:qFormat/>
    <w:rsid w:val="00200CC7"/>
    <w:pPr>
      <w:numPr>
        <w:numId w:val="4"/>
      </w:numPr>
      <w:outlineLvl w:val="9"/>
    </w:pPr>
  </w:style>
  <w:style w:type="paragraph" w:customStyle="1" w:styleId="AppendixHeading5">
    <w:name w:val="Appendix Heading 5"/>
    <w:basedOn w:val="Virsraksts5"/>
    <w:next w:val="Pamatteksts"/>
    <w:qFormat/>
    <w:rsid w:val="00021AE3"/>
    <w:pPr>
      <w:outlineLvl w:val="9"/>
    </w:pPr>
  </w:style>
  <w:style w:type="paragraph" w:styleId="Pamatteksts3">
    <w:name w:val="Body Text 3"/>
    <w:basedOn w:val="Parasts"/>
    <w:uiPriority w:val="10"/>
    <w:qFormat/>
    <w:rsid w:val="00412C8A"/>
    <w:pPr>
      <w:ind w:left="142" w:hanging="142"/>
    </w:pPr>
    <w:rPr>
      <w:sz w:val="18"/>
      <w:szCs w:val="16"/>
    </w:rPr>
  </w:style>
  <w:style w:type="paragraph" w:styleId="Parakstszemobjekta">
    <w:name w:val="caption"/>
    <w:basedOn w:val="Parasts"/>
    <w:next w:val="Parasts"/>
    <w:uiPriority w:val="4"/>
    <w:qFormat/>
    <w:rsid w:val="00D2675E"/>
    <w:pPr>
      <w:keepNext/>
      <w:spacing w:after="140"/>
    </w:pPr>
    <w:rPr>
      <w:rFonts w:eastAsiaTheme="minorEastAsia" w:cstheme="minorBidi"/>
      <w:b/>
      <w:iCs/>
      <w:color w:val="00338D"/>
      <w:szCs w:val="18"/>
      <w:lang w:eastAsia="zh-CN"/>
    </w:rPr>
  </w:style>
  <w:style w:type="paragraph" w:styleId="Sarakstaaizzme4">
    <w:name w:val="List Bullet 4"/>
    <w:basedOn w:val="Sarakstaaizzme2"/>
    <w:uiPriority w:val="99"/>
    <w:rsid w:val="00DB068E"/>
    <w:pPr>
      <w:numPr>
        <w:ilvl w:val="3"/>
      </w:numPr>
    </w:pPr>
  </w:style>
  <w:style w:type="paragraph" w:customStyle="1" w:styleId="zDocRevwH2">
    <w:name w:val="zDocRevwH2"/>
    <w:basedOn w:val="Parasts"/>
    <w:uiPriority w:val="11"/>
    <w:rsid w:val="008761B8"/>
    <w:pPr>
      <w:spacing w:before="130" w:after="130"/>
    </w:pPr>
    <w:rPr>
      <w:b/>
      <w:color w:val="00338D"/>
      <w:sz w:val="28"/>
    </w:rPr>
  </w:style>
  <w:style w:type="paragraph" w:customStyle="1" w:styleId="zDocRevwH1">
    <w:name w:val="zDocRevwH1"/>
    <w:basedOn w:val="Parasts"/>
    <w:uiPriority w:val="11"/>
    <w:rsid w:val="008761B8"/>
    <w:pPr>
      <w:spacing w:before="720" w:after="130"/>
    </w:pPr>
    <w:rPr>
      <w:b/>
      <w:color w:val="00338D"/>
      <w:sz w:val="32"/>
    </w:rPr>
  </w:style>
  <w:style w:type="character" w:customStyle="1" w:styleId="PamattekstsRakstz">
    <w:name w:val="Pamatteksts Rakstz."/>
    <w:basedOn w:val="Noklusjumarindkopasfonts"/>
    <w:link w:val="Pamatteksts"/>
    <w:uiPriority w:val="99"/>
    <w:rsid w:val="004D3235"/>
    <w:rPr>
      <w:lang w:val="lv-LV"/>
    </w:rPr>
  </w:style>
  <w:style w:type="character" w:customStyle="1" w:styleId="PamattekstsaratkpiRakstz">
    <w:name w:val="Pamatteksts ar atkāpi Rakstz."/>
    <w:basedOn w:val="PamattekstsRakstz"/>
    <w:link w:val="Pamattekstsaratkpi"/>
    <w:rsid w:val="00F94EFE"/>
    <w:rPr>
      <w:rFonts w:ascii="Arial" w:hAnsi="Arial"/>
      <w:sz w:val="22"/>
      <w:lang w:val="en-US" w:eastAsia="en-US"/>
    </w:rPr>
  </w:style>
  <w:style w:type="character" w:styleId="Vietturateksts">
    <w:name w:val="Placeholder Text"/>
    <w:basedOn w:val="Noklusjumarindkopasfonts"/>
    <w:uiPriority w:val="99"/>
    <w:semiHidden/>
    <w:rsid w:val="00872EA3"/>
    <w:rPr>
      <w:color w:val="808080"/>
    </w:rPr>
  </w:style>
  <w:style w:type="paragraph" w:customStyle="1" w:styleId="Bodytextnavyhighlight">
    <w:name w:val="Body text navy highlight"/>
    <w:basedOn w:val="Pamatteksts"/>
    <w:next w:val="Pamatteksts"/>
    <w:qFormat/>
    <w:rsid w:val="00F94EFE"/>
    <w:rPr>
      <w:rFonts w:eastAsia="Arial Unicode MS"/>
      <w:b/>
      <w:color w:val="00338D"/>
    </w:rPr>
  </w:style>
  <w:style w:type="paragraph" w:customStyle="1" w:styleId="Bodytextpurplehighlight">
    <w:name w:val="Body text purple highlight"/>
    <w:basedOn w:val="Bodytextnavyhighlight"/>
    <w:next w:val="Pamatteksts"/>
    <w:qFormat/>
    <w:rsid w:val="00C27B50"/>
    <w:rPr>
      <w:color w:val="510DBC"/>
    </w:rPr>
  </w:style>
  <w:style w:type="paragraph" w:customStyle="1" w:styleId="Introparagraph">
    <w:name w:val="Intro paragraph"/>
    <w:basedOn w:val="Pamatteksts"/>
    <w:next w:val="Pamatteksts"/>
    <w:uiPriority w:val="1"/>
    <w:qFormat/>
    <w:rsid w:val="008F70F5"/>
    <w:rPr>
      <w:rFonts w:eastAsia="Arial Unicode MS"/>
      <w:sz w:val="28"/>
      <w:szCs w:val="28"/>
    </w:rPr>
  </w:style>
  <w:style w:type="paragraph" w:customStyle="1" w:styleId="Source">
    <w:name w:val="Source"/>
    <w:basedOn w:val="Pamatteksts"/>
    <w:uiPriority w:val="6"/>
    <w:qFormat/>
    <w:rsid w:val="00D2675E"/>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Parasts"/>
    <w:rsid w:val="00D2675E"/>
    <w:pPr>
      <w:spacing w:before="40" w:after="40"/>
    </w:pPr>
    <w:rPr>
      <w:rFonts w:eastAsiaTheme="minorEastAsia" w:cstheme="minorBidi"/>
      <w:b/>
      <w:color w:val="00338D"/>
      <w:sz w:val="18"/>
      <w:lang w:eastAsia="zh-CN"/>
    </w:rPr>
  </w:style>
  <w:style w:type="paragraph" w:customStyle="1" w:styleId="Tablewhite">
    <w:name w:val="Table white"/>
    <w:basedOn w:val="Parasts"/>
    <w:uiPriority w:val="1"/>
    <w:qFormat/>
    <w:rsid w:val="00D2675E"/>
    <w:pPr>
      <w:spacing w:before="40" w:after="40"/>
    </w:pPr>
    <w:rPr>
      <w:rFonts w:eastAsiaTheme="minorEastAsia" w:cstheme="minorBidi"/>
      <w:color w:val="FFFFFF" w:themeColor="background1"/>
      <w:sz w:val="18"/>
      <w:lang w:eastAsia="zh-CN"/>
    </w:rPr>
  </w:style>
  <w:style w:type="paragraph" w:styleId="Sarakstaaizzme5">
    <w:name w:val="List Bullet 5"/>
    <w:basedOn w:val="Parasts"/>
    <w:uiPriority w:val="99"/>
    <w:unhideWhenUsed/>
    <w:rsid w:val="00F94EFE"/>
    <w:pPr>
      <w:numPr>
        <w:ilvl w:val="4"/>
        <w:numId w:val="5"/>
      </w:numPr>
      <w:contextualSpacing/>
    </w:pPr>
  </w:style>
  <w:style w:type="paragraph" w:styleId="Sarakstanumurs">
    <w:name w:val="List Number"/>
    <w:basedOn w:val="Parasts"/>
    <w:qFormat/>
    <w:rsid w:val="005E57B8"/>
    <w:pPr>
      <w:numPr>
        <w:numId w:val="2"/>
      </w:numPr>
      <w:spacing w:before="60" w:after="60"/>
    </w:pPr>
  </w:style>
  <w:style w:type="paragraph" w:styleId="Sarakstanumurs2">
    <w:name w:val="List Number 2"/>
    <w:basedOn w:val="Parasts"/>
    <w:uiPriority w:val="99"/>
    <w:unhideWhenUsed/>
    <w:qFormat/>
    <w:rsid w:val="005E57B8"/>
    <w:pPr>
      <w:numPr>
        <w:ilvl w:val="1"/>
        <w:numId w:val="2"/>
      </w:numPr>
      <w:spacing w:before="60" w:after="60"/>
    </w:pPr>
  </w:style>
  <w:style w:type="table" w:customStyle="1" w:styleId="KPMGFinancialTable">
    <w:name w:val="KPMG Financial Table"/>
    <w:basedOn w:val="Parastatabula"/>
    <w:uiPriority w:val="99"/>
    <w:rsid w:val="00585F27"/>
    <w:pPr>
      <w:spacing w:before="40" w:after="40"/>
      <w:jc w:val="right"/>
    </w:pPr>
    <w:rPr>
      <w:rFonts w:eastAsiaTheme="minorEastAsia" w:cstheme="minorBidi"/>
      <w:sz w:val="18"/>
      <w:lang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KPMGCVtable">
    <w:name w:val="KPMG CV table"/>
    <w:basedOn w:val="Parastatabula"/>
    <w:uiPriority w:val="99"/>
    <w:rsid w:val="005C4BBD"/>
    <w:pPr>
      <w:spacing w:before="40" w:after="40"/>
    </w:pPr>
    <w:rPr>
      <w:rFonts w:eastAsiaTheme="minorEastAsia" w:cstheme="minorBidi"/>
      <w:sz w:val="18"/>
      <w:lang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table" w:styleId="Reatabula">
    <w:name w:val="Table Grid"/>
    <w:basedOn w:val="Parastatabula"/>
    <w:rsid w:val="00345512"/>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5B4C4B"/>
    <w:rPr>
      <w:vertAlign w:val="superscript"/>
    </w:rPr>
  </w:style>
  <w:style w:type="paragraph" w:styleId="Saraksts">
    <w:name w:val="List"/>
    <w:basedOn w:val="Parasts"/>
    <w:uiPriority w:val="99"/>
    <w:semiHidden/>
    <w:rsid w:val="00AD49D8"/>
    <w:pPr>
      <w:numPr>
        <w:numId w:val="3"/>
      </w:numPr>
      <w:spacing w:before="200" w:line="259" w:lineRule="auto"/>
    </w:pPr>
    <w:rPr>
      <w:rFonts w:eastAsiaTheme="minorEastAsia" w:cstheme="minorBidi"/>
      <w:b/>
      <w:sz w:val="16"/>
      <w:lang w:eastAsia="zh-CN"/>
    </w:rPr>
  </w:style>
  <w:style w:type="paragraph" w:styleId="Saraksts2">
    <w:name w:val="List 2"/>
    <w:basedOn w:val="Saraksts"/>
    <w:uiPriority w:val="99"/>
    <w:semiHidden/>
    <w:rsid w:val="00AD49D8"/>
    <w:pPr>
      <w:numPr>
        <w:ilvl w:val="1"/>
      </w:numPr>
      <w:spacing w:before="0" w:line="240" w:lineRule="exact"/>
    </w:pPr>
    <w:rPr>
      <w:sz w:val="14"/>
    </w:rPr>
  </w:style>
  <w:style w:type="paragraph" w:styleId="Saraksts3">
    <w:name w:val="List 3"/>
    <w:basedOn w:val="Saraksts2"/>
    <w:uiPriority w:val="99"/>
    <w:semiHidden/>
    <w:rsid w:val="00AD49D8"/>
    <w:pPr>
      <w:numPr>
        <w:ilvl w:val="2"/>
      </w:numPr>
      <w:contextualSpacing/>
    </w:pPr>
  </w:style>
  <w:style w:type="paragraph" w:customStyle="1" w:styleId="Termsheading">
    <w:name w:val="Terms heading"/>
    <w:basedOn w:val="Bodytextnavyhighlight"/>
    <w:uiPriority w:val="1"/>
    <w:rsid w:val="00AD49D8"/>
    <w:pPr>
      <w:pageBreakBefore/>
    </w:pPr>
    <w:rPr>
      <w:rFonts w:ascii="Arial" w:hAnsi="Arial"/>
      <w:sz w:val="24"/>
    </w:rPr>
  </w:style>
  <w:style w:type="table" w:customStyle="1" w:styleId="KPMGContactus">
    <w:name w:val="KPMG Contact us"/>
    <w:basedOn w:val="Parastatabula"/>
    <w:uiPriority w:val="99"/>
    <w:rsid w:val="00B2384A"/>
    <w:rPr>
      <w:sz w:val="20"/>
    </w:rPr>
    <w:tblPr>
      <w:tblStyleRowBandSize w:val="1"/>
    </w:tblPr>
    <w:tblStylePr w:type="firstRow">
      <w:rPr>
        <w:b/>
      </w:rPr>
    </w:tblStylePr>
    <w:tblStylePr w:type="lastRow">
      <w:rPr>
        <w:sz w:val="16"/>
      </w:rPr>
    </w:tblStylePr>
  </w:style>
  <w:style w:type="character" w:styleId="Hipersaite">
    <w:name w:val="Hyperlink"/>
    <w:basedOn w:val="Noklusjumarindkopasfonts"/>
    <w:uiPriority w:val="99"/>
    <w:unhideWhenUsed/>
    <w:rsid w:val="00F267B1"/>
    <w:rPr>
      <w:rFonts w:ascii="Arial" w:hAnsi="Arial"/>
      <w:color w:val="0091DA" w:themeColor="hyperlink"/>
      <w:u w:val="single"/>
    </w:rPr>
  </w:style>
  <w:style w:type="paragraph" w:customStyle="1" w:styleId="Contactbold">
    <w:name w:val="Contact bold"/>
    <w:basedOn w:val="Parasts"/>
    <w:next w:val="Contactemail"/>
    <w:semiHidden/>
    <w:qFormat/>
    <w:rsid w:val="00B2384A"/>
    <w:pPr>
      <w:framePr w:hSpace="181" w:wrap="around" w:vAnchor="page" w:hAnchor="margin" w:y="4821"/>
    </w:pPr>
    <w:rPr>
      <w:rFonts w:eastAsia="Arial Unicode MS"/>
      <w:b/>
      <w:sz w:val="20"/>
      <w:szCs w:val="20"/>
      <w:lang w:eastAsia="en-CA" w:bidi="th-TH"/>
    </w:rPr>
  </w:style>
  <w:style w:type="paragraph" w:customStyle="1" w:styleId="Contactname">
    <w:name w:val="Contact name"/>
    <w:basedOn w:val="Contactbold"/>
    <w:next w:val="Contactbold"/>
    <w:semiHidden/>
    <w:qFormat/>
    <w:rsid w:val="00B2384A"/>
    <w:pPr>
      <w:framePr w:wrap="around"/>
      <w:spacing w:before="240"/>
    </w:pPr>
    <w:rPr>
      <w:color w:val="00338D"/>
    </w:rPr>
  </w:style>
  <w:style w:type="paragraph" w:customStyle="1" w:styleId="Contactemail">
    <w:name w:val="Contact email"/>
    <w:basedOn w:val="Parasts"/>
    <w:semiHidden/>
    <w:qFormat/>
    <w:rsid w:val="00B2384A"/>
    <w:pPr>
      <w:tabs>
        <w:tab w:val="left" w:pos="285"/>
      </w:tabs>
    </w:pPr>
    <w:rPr>
      <w:rFonts w:eastAsia="Arial Unicode MS"/>
      <w:sz w:val="20"/>
      <w:szCs w:val="20"/>
      <w:lang w:eastAsia="en-CA" w:bidi="th-TH"/>
    </w:rPr>
  </w:style>
  <w:style w:type="paragraph" w:customStyle="1" w:styleId="Disclaimer">
    <w:name w:val="Disclaimer"/>
    <w:basedOn w:val="Parasts"/>
    <w:semiHidden/>
    <w:qFormat/>
    <w:rsid w:val="00B2384A"/>
    <w:pPr>
      <w:framePr w:hSpace="181" w:wrap="around" w:vAnchor="page" w:hAnchor="margin" w:y="4821"/>
      <w:spacing w:before="120"/>
    </w:pPr>
    <w:rPr>
      <w:rFonts w:eastAsia="Arial Unicode MS"/>
      <w:sz w:val="16"/>
      <w:szCs w:val="16"/>
      <w:lang w:eastAsia="en-CA" w:bidi="th-TH"/>
    </w:rPr>
  </w:style>
  <w:style w:type="table" w:customStyle="1" w:styleId="KPMGTextTable">
    <w:name w:val="KPMG Text Table"/>
    <w:basedOn w:val="KPMGFinancialTable"/>
    <w:uiPriority w:val="99"/>
    <w:rsid w:val="00D655F0"/>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zcompanynamewhite">
    <w:name w:val="zcompany name white"/>
    <w:basedOn w:val="zcompanyname"/>
    <w:uiPriority w:val="11"/>
    <w:rsid w:val="0011133E"/>
    <w:rPr>
      <w:color w:val="FFFFFF" w:themeColor="background1"/>
    </w:rPr>
  </w:style>
  <w:style w:type="paragraph" w:customStyle="1" w:styleId="zreportaddinfowhite">
    <w:name w:val="zreport addinfo white"/>
    <w:basedOn w:val="zreportaddinfo"/>
    <w:uiPriority w:val="11"/>
    <w:qFormat/>
    <w:rsid w:val="0011133E"/>
    <w:pPr>
      <w:framePr w:wrap="around"/>
    </w:pPr>
    <w:rPr>
      <w:color w:val="FFFFFF" w:themeColor="background1"/>
    </w:rPr>
  </w:style>
  <w:style w:type="paragraph" w:customStyle="1" w:styleId="zreportnamewhite">
    <w:name w:val="zreport name white"/>
    <w:basedOn w:val="zreportname"/>
    <w:uiPriority w:val="11"/>
    <w:qFormat/>
    <w:rsid w:val="00CB63ED"/>
    <w:rPr>
      <w:color w:val="FFFFFF" w:themeColor="background1"/>
    </w:rPr>
  </w:style>
  <w:style w:type="paragraph" w:customStyle="1" w:styleId="zreportsubtitlewhite">
    <w:name w:val="zreport subtitle white"/>
    <w:basedOn w:val="zreportsubtitle"/>
    <w:uiPriority w:val="11"/>
    <w:qFormat/>
    <w:rsid w:val="00CB63ED"/>
    <w:rPr>
      <w:color w:val="FFFFFF" w:themeColor="background1"/>
    </w:rPr>
  </w:style>
  <w:style w:type="character" w:customStyle="1" w:styleId="KjeneRakstz">
    <w:name w:val="Kājene Rakstz."/>
    <w:basedOn w:val="Noklusjumarindkopasfonts"/>
    <w:link w:val="Kjene"/>
    <w:uiPriority w:val="9"/>
    <w:rsid w:val="007E490E"/>
    <w:rPr>
      <w:sz w:val="18"/>
      <w:lang w:val="en-US"/>
    </w:rPr>
  </w:style>
  <w:style w:type="character" w:customStyle="1" w:styleId="GalveneRakstz">
    <w:name w:val="Galvene Rakstz."/>
    <w:basedOn w:val="Noklusjumarindkopasfonts"/>
    <w:link w:val="Galvene"/>
    <w:uiPriority w:val="9"/>
    <w:rsid w:val="007E490E"/>
    <w:rPr>
      <w:sz w:val="18"/>
      <w:lang w:val="en-US"/>
    </w:rPr>
  </w:style>
  <w:style w:type="character" w:customStyle="1" w:styleId="VrestekstsRakstz">
    <w:name w:val="Vēres teksts Rakstz."/>
    <w:basedOn w:val="Noklusjumarindkopasfonts"/>
    <w:link w:val="Vresteksts"/>
    <w:uiPriority w:val="9"/>
    <w:rsid w:val="00BE2973"/>
    <w:rPr>
      <w:sz w:val="18"/>
      <w:lang w:val="en-US"/>
    </w:rPr>
  </w:style>
  <w:style w:type="character" w:styleId="Neatrisintapieminana">
    <w:name w:val="Unresolved Mention"/>
    <w:basedOn w:val="Noklusjumarindkopasfonts"/>
    <w:uiPriority w:val="99"/>
    <w:semiHidden/>
    <w:unhideWhenUsed/>
    <w:rsid w:val="009F3F64"/>
    <w:rPr>
      <w:color w:val="605E5C"/>
      <w:shd w:val="clear" w:color="auto" w:fill="E1DFDD"/>
    </w:rPr>
  </w:style>
  <w:style w:type="paragraph" w:styleId="Paraststmeklis">
    <w:name w:val="Normal (Web)"/>
    <w:basedOn w:val="Parasts"/>
    <w:uiPriority w:val="99"/>
    <w:unhideWhenUsed/>
    <w:rsid w:val="00127B0F"/>
    <w:pPr>
      <w:spacing w:before="100" w:beforeAutospacing="1" w:after="100" w:afterAutospacing="1" w:line="240" w:lineRule="auto"/>
      <w:jc w:val="left"/>
    </w:pPr>
    <w:rPr>
      <w:rFonts w:ascii="Times New Roman" w:hAnsi="Times New Roman"/>
      <w:sz w:val="24"/>
      <w:szCs w:val="24"/>
      <w:lang w:val="en-GB" w:eastAsia="en-GB"/>
    </w:rPr>
  </w:style>
  <w:style w:type="character" w:styleId="Izteiksmgs">
    <w:name w:val="Strong"/>
    <w:basedOn w:val="Noklusjumarindkopasfonts"/>
    <w:uiPriority w:val="22"/>
    <w:qFormat/>
    <w:rsid w:val="00127B0F"/>
    <w:rPr>
      <w:b/>
      <w:bCs/>
    </w:rPr>
  </w:style>
  <w:style w:type="character" w:styleId="Komentraatsauce">
    <w:name w:val="annotation reference"/>
    <w:basedOn w:val="Noklusjumarindkopasfonts"/>
    <w:uiPriority w:val="99"/>
    <w:semiHidden/>
    <w:unhideWhenUsed/>
    <w:rsid w:val="008E3182"/>
    <w:rPr>
      <w:sz w:val="16"/>
      <w:szCs w:val="16"/>
    </w:rPr>
  </w:style>
  <w:style w:type="paragraph" w:styleId="Komentrateksts">
    <w:name w:val="annotation text"/>
    <w:basedOn w:val="Parasts"/>
    <w:link w:val="KomentratekstsRakstz"/>
    <w:uiPriority w:val="99"/>
    <w:unhideWhenUsed/>
    <w:rsid w:val="008E318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3182"/>
    <w:rPr>
      <w:sz w:val="20"/>
      <w:szCs w:val="20"/>
      <w:lang w:val="lv-LV"/>
    </w:rPr>
  </w:style>
  <w:style w:type="paragraph" w:styleId="Komentratma">
    <w:name w:val="annotation subject"/>
    <w:basedOn w:val="Komentrateksts"/>
    <w:next w:val="Komentrateksts"/>
    <w:link w:val="KomentratmaRakstz"/>
    <w:uiPriority w:val="99"/>
    <w:semiHidden/>
    <w:unhideWhenUsed/>
    <w:rsid w:val="008E3182"/>
    <w:rPr>
      <w:b/>
      <w:bCs/>
    </w:rPr>
  </w:style>
  <w:style w:type="character" w:customStyle="1" w:styleId="KomentratmaRakstz">
    <w:name w:val="Komentāra tēma Rakstz."/>
    <w:basedOn w:val="KomentratekstsRakstz"/>
    <w:link w:val="Komentratma"/>
    <w:uiPriority w:val="99"/>
    <w:semiHidden/>
    <w:rsid w:val="008E3182"/>
    <w:rPr>
      <w:b/>
      <w:bCs/>
      <w:sz w:val="20"/>
      <w:szCs w:val="20"/>
      <w:lang w:val="lv-LV"/>
    </w:rPr>
  </w:style>
  <w:style w:type="paragraph" w:styleId="Prskatjums">
    <w:name w:val="Revision"/>
    <w:hidden/>
    <w:uiPriority w:val="99"/>
    <w:semiHidden/>
    <w:rsid w:val="008E4FA2"/>
    <w:rPr>
      <w:lang w:val="lv-LV"/>
    </w:rPr>
  </w:style>
  <w:style w:type="paragraph" w:styleId="Sarakstarindkopa">
    <w:name w:val="List Paragraph"/>
    <w:basedOn w:val="Parasts"/>
    <w:uiPriority w:val="34"/>
    <w:unhideWhenUsed/>
    <w:rsid w:val="008E4FA2"/>
    <w:pPr>
      <w:ind w:left="720"/>
      <w:contextualSpacing/>
    </w:pPr>
  </w:style>
  <w:style w:type="character" w:styleId="Izmantotahipersaite">
    <w:name w:val="FollowedHyperlink"/>
    <w:basedOn w:val="Noklusjumarindkopasfonts"/>
    <w:uiPriority w:val="99"/>
    <w:semiHidden/>
    <w:unhideWhenUsed/>
    <w:rsid w:val="00B31666"/>
    <w:rPr>
      <w:color w:val="0091DA" w:themeColor="followedHyperlink"/>
      <w:u w:val="single"/>
    </w:rPr>
  </w:style>
  <w:style w:type="character" w:customStyle="1" w:styleId="Virsraksts3Rakstz">
    <w:name w:val="Virsraksts 3 Rakstz."/>
    <w:basedOn w:val="Noklusjumarindkopasfonts"/>
    <w:link w:val="Virsraksts3"/>
    <w:uiPriority w:val="9"/>
    <w:rsid w:val="00C039C8"/>
    <w:rPr>
      <w:bCs/>
      <w:color w:val="000000" w:themeColor="text1"/>
      <w:lang w:val="lv-LV"/>
    </w:rPr>
  </w:style>
  <w:style w:type="paragraph" w:styleId="HTMLiepriekformattais">
    <w:name w:val="HTML Preformatted"/>
    <w:basedOn w:val="Parasts"/>
    <w:link w:val="HTMLiepriekformattaisRakstz"/>
    <w:uiPriority w:val="99"/>
    <w:semiHidden/>
    <w:unhideWhenUsed/>
    <w:rsid w:val="009A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en-GB" w:eastAsia="en-GB"/>
    </w:rPr>
  </w:style>
  <w:style w:type="character" w:customStyle="1" w:styleId="HTMLiepriekformattaisRakstz">
    <w:name w:val="HTML iepriekšformatētais Rakstz."/>
    <w:basedOn w:val="Noklusjumarindkopasfonts"/>
    <w:link w:val="HTMLiepriekformattais"/>
    <w:uiPriority w:val="99"/>
    <w:semiHidden/>
    <w:rsid w:val="009A7229"/>
    <w:rPr>
      <w:rFonts w:ascii="Courier New" w:hAnsi="Courier New" w:cs="Courier New"/>
      <w:sz w:val="20"/>
      <w:szCs w:val="20"/>
      <w:lang w:val="en-GB" w:eastAsia="en-GB"/>
    </w:rPr>
  </w:style>
  <w:style w:type="character" w:styleId="HTMLkods">
    <w:name w:val="HTML Code"/>
    <w:basedOn w:val="Noklusjumarindkopasfonts"/>
    <w:uiPriority w:val="99"/>
    <w:semiHidden/>
    <w:unhideWhenUsed/>
    <w:rsid w:val="009A722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22940">
      <w:bodyDiv w:val="1"/>
      <w:marLeft w:val="0"/>
      <w:marRight w:val="0"/>
      <w:marTop w:val="0"/>
      <w:marBottom w:val="0"/>
      <w:divBdr>
        <w:top w:val="none" w:sz="0" w:space="0" w:color="auto"/>
        <w:left w:val="none" w:sz="0" w:space="0" w:color="auto"/>
        <w:bottom w:val="none" w:sz="0" w:space="0" w:color="auto"/>
        <w:right w:val="none" w:sz="0" w:space="0" w:color="auto"/>
      </w:divBdr>
    </w:div>
    <w:div w:id="193852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Report-Lat.dotm" TargetMode="External"/></Relationships>
</file>

<file path=word/theme/theme1.xml><?xml version="1.0" encoding="utf-8"?>
<a:theme xmlns:a="http://schemas.openxmlformats.org/drawingml/2006/main" name="Office Theme">
  <a:themeElements>
    <a:clrScheme name="KPMG">
      <a:dk1>
        <a:sysClr val="windowText" lastClr="000000"/>
      </a:dk1>
      <a:lt1>
        <a:sysClr val="window" lastClr="FFFFFF"/>
      </a:lt1>
      <a:dk2>
        <a:srgbClr val="00338D"/>
      </a:dk2>
      <a:lt2>
        <a:srgbClr val="F0F0F0"/>
      </a:lt2>
      <a:accent1>
        <a:srgbClr val="0091DA"/>
      </a:accent1>
      <a:accent2>
        <a:srgbClr val="6D2077"/>
      </a:accent2>
      <a:accent3>
        <a:srgbClr val="005EB8"/>
      </a:accent3>
      <a:accent4>
        <a:srgbClr val="00A3A1"/>
      </a:accent4>
      <a:accent5>
        <a:srgbClr val="EAAA00"/>
      </a:accent5>
      <a:accent6>
        <a:srgbClr val="43B02A"/>
      </a:accent6>
      <a:hlink>
        <a:srgbClr val="0091DA"/>
      </a:hlink>
      <a:folHlink>
        <a:srgbClr val="0091D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7AA76-D0C8-481E-9ECA-1B8A2E0A46B3}">
  <ds:schemaRefs>
    <ds:schemaRef ds:uri="http://schemas.openxmlformats.org/officeDocument/2006/bibliography"/>
  </ds:schemaRefs>
</ds:datastoreItem>
</file>

<file path=docMetadata/LabelInfo.xml><?xml version="1.0" encoding="utf-8"?>
<clbl:labelList xmlns:clbl="http://schemas.microsoft.com/office/2020/mipLabelMetadata">
  <clbl:label id="{95653b52-df9b-47d2-8549-8de78ac04e21}" enabled="1" method="Standard" siteId="{deff24bb-2089-4400-8c8e-f71e680378b2}" removed="0"/>
</clbl:labelList>
</file>

<file path=docProps/app.xml><?xml version="1.0" encoding="utf-8"?>
<Properties xmlns="http://schemas.openxmlformats.org/officeDocument/2006/extended-properties" xmlns:vt="http://schemas.openxmlformats.org/officeDocument/2006/docPropsVTypes">
  <Template>Report-Lat</Template>
  <TotalTime>3</TotalTime>
  <Pages>7</Pages>
  <Words>7359</Words>
  <Characters>4195</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Ārkārtēju apstākļu ietekmes uz būvdarbu līgumu izmaksām izvērtējums un cenu indeksācijas mehānisma pilnveide</vt:lpstr>
    </vt:vector>
  </TitlesOfParts>
  <Company>KPMG</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Ārkārtēju apstākļu ietekmes uz būvdarbu līgumu izmaksām izvērtējums un cenu indeksācijas mehānisma pilnveide</dc:title>
  <dc:subject>AS Latvijas valsts ceļi</dc:subject>
  <dc:creator>KPMG</dc:creator>
  <cp:keywords/>
  <dc:description>April 2022 - Global Brand update required to change colors in the color palette, changed the fill and line colors in the Ribbon, change title font to KPMG Bold, change the bullets to round-dash-round-dash etc.._x000d_
_x000d_
Added last page Indepence Disclaimer. April 2021.</dc:description>
  <cp:lastModifiedBy>Elīna Pankovska</cp:lastModifiedBy>
  <cp:revision>2</cp:revision>
  <cp:lastPrinted>2000-03-07T23:20:00Z</cp:lastPrinted>
  <dcterms:created xsi:type="dcterms:W3CDTF">2026-08-04T08:11:00Z</dcterms:created>
  <dcterms:modified xsi:type="dcterms:W3CDTF">2026-08-04T08:11:00Z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Baltics SIA</vt:lpwstr>
  </property>
  <property fmtid="{D5CDD505-2E9C-101B-9397-08002B2CF9AE}" pid="4" name="KISFirmPrtName">
    <vt:lpwstr>KPMG Baltics SIA</vt:lpwstr>
  </property>
  <property fmtid="{D5CDD505-2E9C-101B-9397-08002B2CF9AE}" pid="5" name="KISFirmInfoA">
    <vt:lpwstr/>
  </property>
  <property fmtid="{D5CDD505-2E9C-101B-9397-08002B2CF9AE}" pid="6" name="KISFirmInfoB">
    <vt:lpwstr>Reģ.Nr.40003235171</vt:lpwstr>
  </property>
  <property fmtid="{D5CDD505-2E9C-101B-9397-08002B2CF9AE}" pid="7" name="KISFirmInfoC">
    <vt:lpwstr/>
  </property>
  <property fmtid="{D5CDD505-2E9C-101B-9397-08002B2CF9AE}" pid="8" name="KISFirmDesc">
    <vt:lpwstr>KPMG Baltics SIA, Latvijā reģistrēta sabiedrība ar ierobežotu atbildību un KPMG neatkarīgu dalībfirmu, kuras saistītas ar Apvienotajā Karalistē reģistrētu privātu garantiju sabiedrību “KPMG International Limited”, globālās organizācijas dalībfirma.</vt:lpwstr>
  </property>
  <property fmtid="{D5CDD505-2E9C-101B-9397-08002B2CF9AE}" pid="9" name="KISSvcDispName">
    <vt:lpwstr>KPMG Baltics SIA</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KPMG Baltics SIA</vt:lpwstr>
  </property>
  <property fmtid="{D5CDD505-2E9C-101B-9397-08002B2CF9AE}" pid="15" name="KISOffCity">
    <vt:lpwstr/>
  </property>
  <property fmtid="{D5CDD505-2E9C-101B-9397-08002B2CF9AE}" pid="16" name="KISOffInfoA">
    <vt:lpwstr/>
  </property>
  <property fmtid="{D5CDD505-2E9C-101B-9397-08002B2CF9AE}" pid="17" name="KISOff1Addr">
    <vt:lpwstr>Roberta Hirša iela 1,_x000d_
Rīga, LV-1045_x000d_
Latvija</vt:lpwstr>
  </property>
  <property fmtid="{D5CDD505-2E9C-101B-9397-08002B2CF9AE}" pid="18" name="KISOff2Addr">
    <vt:lpwstr/>
  </property>
  <property fmtid="{D5CDD505-2E9C-101B-9397-08002B2CF9AE}" pid="19" name="KISOff3Addr">
    <vt:lpwstr>T +371 67038000_x000d_
kpmg.com/lv_x000d_
kpmg@kpmg.lv</vt:lpwstr>
  </property>
  <property fmtid="{D5CDD505-2E9C-101B-9397-08002B2CF9AE}" pid="20" name="KISClient">
    <vt:lpwstr>AS Latvijas valsts ceļi</vt:lpwstr>
  </property>
  <property fmtid="{D5CDD505-2E9C-101B-9397-08002B2CF9AE}" pid="21" name="KISSubject">
    <vt:lpwstr>Ārkārtēju apstākļu ietekmes uz būvdarbu līgumu izmaksām izvērtējums un cenu indeksācijas mehānisma pilnveide</vt:lpwstr>
  </property>
  <property fmtid="{D5CDD505-2E9C-101B-9397-08002B2CF9AE}" pid="22" name="KISRepSubTitle">
    <vt:lpwstr/>
  </property>
  <property fmtid="{D5CDD505-2E9C-101B-9397-08002B2CF9AE}" pid="23" name="KISHdrInfo">
    <vt:lpwstr>2026. gada 4. jūnijs</vt:lpwstr>
  </property>
  <property fmtid="{D5CDD505-2E9C-101B-9397-08002B2CF9AE}" pid="24" name="KISTmpltVer">
    <vt:lpwstr>5.2</vt:lpwstr>
  </property>
  <property fmtid="{D5CDD505-2E9C-101B-9397-08002B2CF9AE}" pid="25" name="KISFirmCopyright">
    <vt:lpwstr>© 2026 KPMG Baltics SIA, Latvijā reģistrēta sabiedrība ar ierobežotu atbildību un KPMG neatkarīgu dalībfirmu, kuras saistītas ar Apvienotajā Karalistē reģistrētu privātu garantiju sabiedrību “KPMG International Limited”, globālās organizācijas dalīb</vt:lpwstr>
  </property>
  <property fmtid="{D5CDD505-2E9C-101B-9397-08002B2CF9AE}" pid="26" name="KISFirmCopyright2">
    <vt:lpwstr>firma. Visas tiesības aizsargātas.</vt:lpwstr>
  </property>
  <property fmtid="{D5CDD505-2E9C-101B-9397-08002B2CF9AE}" pid="27" name="KISHdrInfoA">
    <vt:lpwstr/>
  </property>
  <property fmtid="{D5CDD505-2E9C-101B-9397-08002B2CF9AE}" pid="28" name="KISConfidential">
    <vt:lpwstr>Konfidenciāls</vt:lpwstr>
  </property>
  <property fmtid="{D5CDD505-2E9C-101B-9397-08002B2CF9AE}" pid="29" name="KISDocClassMsg">
    <vt:lpwstr>Dokumenta klasifikācija: </vt:lpwstr>
  </property>
  <property fmtid="{D5CDD505-2E9C-101B-9397-08002B2CF9AE}" pid="30" name="KISFirmDesc2">
    <vt:lpwstr/>
  </property>
</Properties>
</file>