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B1FC" w14:textId="77777777" w:rsidR="00440997" w:rsidRPr="00440997" w:rsidRDefault="00440997" w:rsidP="00440997">
      <w:pPr>
        <w:rPr>
          <w:b/>
          <w:bCs/>
          <w:sz w:val="6"/>
          <w:szCs w:val="6"/>
        </w:rPr>
      </w:pPr>
    </w:p>
    <w:p w14:paraId="2A8A48BB" w14:textId="20F90A81" w:rsidR="212E49B1" w:rsidRPr="00953897" w:rsidRDefault="212E49B1" w:rsidP="6EA78EA5">
      <w:pPr>
        <w:jc w:val="center"/>
        <w:rPr>
          <w:sz w:val="28"/>
          <w:szCs w:val="28"/>
        </w:rPr>
      </w:pPr>
      <w:r w:rsidRPr="00953897">
        <w:rPr>
          <w:b/>
          <w:bCs/>
          <w:sz w:val="28"/>
          <w:szCs w:val="28"/>
        </w:rPr>
        <w:t xml:space="preserve">Bauskas apvedceļa </w:t>
      </w:r>
      <w:r w:rsidR="00953897" w:rsidRPr="00953897">
        <w:rPr>
          <w:b/>
          <w:bCs/>
          <w:sz w:val="28"/>
          <w:szCs w:val="28"/>
        </w:rPr>
        <w:t>PPP projekta Informatīvās dienas II</w:t>
      </w:r>
    </w:p>
    <w:p w14:paraId="3AB3EB2D" w14:textId="2B1C3D4A" w:rsidR="00953897" w:rsidRDefault="212E49B1" w:rsidP="00A719CF">
      <w:pPr>
        <w:jc w:val="center"/>
        <w:rPr>
          <w:b/>
          <w:bCs/>
          <w:sz w:val="28"/>
          <w:szCs w:val="28"/>
        </w:rPr>
      </w:pPr>
      <w:r w:rsidRPr="00953897">
        <w:rPr>
          <w:b/>
          <w:bCs/>
          <w:sz w:val="28"/>
          <w:szCs w:val="28"/>
        </w:rPr>
        <w:t>Biežāk uzdotie jautājumi un atbildes</w:t>
      </w:r>
    </w:p>
    <w:p w14:paraId="16C7B708" w14:textId="77777777" w:rsidR="00440997" w:rsidRPr="00440997" w:rsidRDefault="00440997" w:rsidP="00A719CF">
      <w:pPr>
        <w:jc w:val="center"/>
        <w:rPr>
          <w:b/>
          <w:bCs/>
          <w:sz w:val="6"/>
          <w:szCs w:val="6"/>
        </w:rPr>
      </w:pPr>
    </w:p>
    <w:tbl>
      <w:tblPr>
        <w:tblStyle w:val="TableGrid"/>
        <w:tblW w:w="14034" w:type="dxa"/>
        <w:tblInd w:w="-856" w:type="dxa"/>
        <w:tblLook w:val="04A0" w:firstRow="1" w:lastRow="0" w:firstColumn="1" w:lastColumn="0" w:noHBand="0" w:noVBand="1"/>
      </w:tblPr>
      <w:tblGrid>
        <w:gridCol w:w="709"/>
        <w:gridCol w:w="3292"/>
        <w:gridCol w:w="10033"/>
      </w:tblGrid>
      <w:tr w:rsidR="00D50A9C" w14:paraId="06FA16B2" w14:textId="77777777" w:rsidTr="00A719CF">
        <w:tc>
          <w:tcPr>
            <w:tcW w:w="709" w:type="dxa"/>
            <w:shd w:val="clear" w:color="auto" w:fill="D9D9D9" w:themeFill="background1" w:themeFillShade="D9"/>
          </w:tcPr>
          <w:p w14:paraId="15FAE113" w14:textId="77777777" w:rsidR="00440997" w:rsidRDefault="00440997" w:rsidP="00D50A9C">
            <w:pPr>
              <w:jc w:val="center"/>
              <w:rPr>
                <w:b/>
                <w:bCs/>
              </w:rPr>
            </w:pPr>
          </w:p>
          <w:p w14:paraId="583F778B" w14:textId="0CFE61CE" w:rsidR="00D50A9C" w:rsidRPr="00440997" w:rsidRDefault="00D50A9C" w:rsidP="00D50A9C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Nr.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566C1F6C" w14:textId="77777777" w:rsidR="00440997" w:rsidRDefault="00440997" w:rsidP="00D50A9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D9E2F8" w14:textId="5692BD11" w:rsidR="00D50A9C" w:rsidRPr="00953897" w:rsidRDefault="00D50A9C" w:rsidP="00D50A9C">
            <w:pPr>
              <w:jc w:val="center"/>
              <w:rPr>
                <w:b/>
                <w:bCs/>
                <w:sz w:val="24"/>
                <w:szCs w:val="24"/>
              </w:rPr>
            </w:pPr>
            <w:r w:rsidRPr="00953897">
              <w:rPr>
                <w:b/>
                <w:bCs/>
                <w:sz w:val="24"/>
                <w:szCs w:val="24"/>
              </w:rPr>
              <w:t>Jautājums</w:t>
            </w:r>
          </w:p>
        </w:tc>
        <w:tc>
          <w:tcPr>
            <w:tcW w:w="10033" w:type="dxa"/>
          </w:tcPr>
          <w:p w14:paraId="1E023AB4" w14:textId="77777777" w:rsidR="00440997" w:rsidRDefault="00440997" w:rsidP="00D50A9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7B6B95" w14:textId="4BBC9DE5" w:rsidR="00D50A9C" w:rsidRPr="00953897" w:rsidRDefault="00D50A9C" w:rsidP="00D50A9C">
            <w:pPr>
              <w:jc w:val="center"/>
              <w:rPr>
                <w:b/>
                <w:bCs/>
                <w:sz w:val="24"/>
                <w:szCs w:val="24"/>
              </w:rPr>
            </w:pPr>
            <w:r w:rsidRPr="00953897">
              <w:rPr>
                <w:b/>
                <w:bCs/>
                <w:sz w:val="24"/>
                <w:szCs w:val="24"/>
              </w:rPr>
              <w:t>Atbilde</w:t>
            </w:r>
          </w:p>
          <w:p w14:paraId="62E504E8" w14:textId="4DE943DF" w:rsidR="00953897" w:rsidRPr="00953897" w:rsidRDefault="00953897" w:rsidP="00D50A9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50A9C" w14:paraId="3F7AE484" w14:textId="77777777" w:rsidTr="00A719CF">
        <w:tc>
          <w:tcPr>
            <w:tcW w:w="709" w:type="dxa"/>
            <w:shd w:val="clear" w:color="auto" w:fill="D9D9D9" w:themeFill="background1" w:themeFillShade="D9"/>
          </w:tcPr>
          <w:p w14:paraId="4345590B" w14:textId="7DD83921" w:rsidR="00D50A9C" w:rsidRPr="00440997" w:rsidRDefault="00D50A9C" w:rsidP="00D50A9C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1.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5675E58B" w14:textId="5D0FCC39" w:rsidR="00D50A9C" w:rsidRPr="00953897" w:rsidRDefault="4E45374D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Vai PPP līgums paredz</w:t>
            </w:r>
            <w:r w:rsidR="00D50A9C" w:rsidRPr="00953897">
              <w:rPr>
                <w:b/>
                <w:bCs/>
              </w:rPr>
              <w:t xml:space="preserve"> būvdarbu garantij</w:t>
            </w:r>
            <w:r w:rsidR="23DE9FE8" w:rsidRPr="00953897">
              <w:rPr>
                <w:b/>
                <w:bCs/>
              </w:rPr>
              <w:t>u</w:t>
            </w:r>
            <w:r w:rsidR="00D50A9C" w:rsidRPr="00953897">
              <w:rPr>
                <w:b/>
                <w:bCs/>
              </w:rPr>
              <w:t xml:space="preserve">? </w:t>
            </w:r>
          </w:p>
        </w:tc>
        <w:tc>
          <w:tcPr>
            <w:tcW w:w="10033" w:type="dxa"/>
          </w:tcPr>
          <w:p w14:paraId="36F27D2A" w14:textId="589FAC90" w:rsidR="00D50A9C" w:rsidRDefault="5EF2FFBC" w:rsidP="15BCF07A">
            <w:r>
              <w:t xml:space="preserve">Jā, PPP līgums paredz būvdarbu garantiju. Tās apmērs PPP līguma darbības laikā var tikt samazināts </w:t>
            </w:r>
            <w:r w:rsidR="62FB7674">
              <w:t>proporcionāli</w:t>
            </w:r>
            <w:r>
              <w:t xml:space="preserve"> veiktajiem kapitālieguldījumiem. </w:t>
            </w:r>
          </w:p>
          <w:p w14:paraId="67743937" w14:textId="490063D4" w:rsidR="00D50A9C" w:rsidRDefault="59D69FA1" w:rsidP="15BCF07A">
            <w:r>
              <w:t xml:space="preserve">Visticamāk, šajā aspektā Bauskas </w:t>
            </w:r>
            <w:r w:rsidR="00953897">
              <w:t xml:space="preserve">apvedceļa </w:t>
            </w:r>
            <w:r>
              <w:t xml:space="preserve">PPP </w:t>
            </w:r>
            <w:r w:rsidR="00953897">
              <w:t xml:space="preserve">projekta </w:t>
            </w:r>
            <w:r>
              <w:t xml:space="preserve">līgumā tiks iestrādāts Ķekavas </w:t>
            </w:r>
            <w:r w:rsidR="00953897">
              <w:t xml:space="preserve">apvedceļa </w:t>
            </w:r>
            <w:r>
              <w:t xml:space="preserve">PPP </w:t>
            </w:r>
            <w:r w:rsidR="00953897">
              <w:t xml:space="preserve">projekta </w:t>
            </w:r>
            <w:r>
              <w:t>līgumā izmantotajam līdzīgs risinājums</w:t>
            </w:r>
            <w:r w:rsidR="2F9522EA">
              <w:t xml:space="preserve">. </w:t>
            </w:r>
          </w:p>
          <w:p w14:paraId="6135103B" w14:textId="77777777" w:rsidR="00D50A9C" w:rsidRDefault="5C2BC56C" w:rsidP="15BCF07A">
            <w:r>
              <w:t xml:space="preserve">Ķekavas </w:t>
            </w:r>
            <w:r w:rsidR="00953897">
              <w:t xml:space="preserve">apvedceļa </w:t>
            </w:r>
            <w:r>
              <w:t xml:space="preserve">PPP </w:t>
            </w:r>
            <w:r w:rsidR="00953897">
              <w:t xml:space="preserve">projekta </w:t>
            </w:r>
            <w:r>
              <w:t xml:space="preserve">līgums pieejams </w:t>
            </w:r>
            <w:r w:rsidR="00953897">
              <w:t xml:space="preserve">VSIA “Latvijas Valsts ceļi” </w:t>
            </w:r>
            <w:r w:rsidR="002C016B">
              <w:t xml:space="preserve">(LVC) </w:t>
            </w:r>
            <w:r w:rsidR="00953897">
              <w:t>mājaslapā.</w:t>
            </w:r>
          </w:p>
          <w:p w14:paraId="03F3EA94" w14:textId="776CC2FD" w:rsidR="00440997" w:rsidRDefault="00440997" w:rsidP="15BCF07A"/>
        </w:tc>
      </w:tr>
      <w:tr w:rsidR="00D50A9C" w14:paraId="2C8413AA" w14:textId="77777777" w:rsidTr="00A719CF">
        <w:tc>
          <w:tcPr>
            <w:tcW w:w="709" w:type="dxa"/>
            <w:shd w:val="clear" w:color="auto" w:fill="D9D9D9" w:themeFill="background1" w:themeFillShade="D9"/>
          </w:tcPr>
          <w:p w14:paraId="689D70FF" w14:textId="10D50658" w:rsidR="00D50A9C" w:rsidRPr="00440997" w:rsidRDefault="00D50A9C" w:rsidP="00D50A9C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2.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7B04C6B1" w14:textId="126D176A" w:rsidR="00D50A9C" w:rsidRPr="00953897" w:rsidRDefault="5AA03CF4" w:rsidP="6EA78EA5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 xml:space="preserve">Vai un kā būs pieejami topogrāfijas un ģeoloģijas dati? </w:t>
            </w:r>
          </w:p>
        </w:tc>
        <w:tc>
          <w:tcPr>
            <w:tcW w:w="10033" w:type="dxa"/>
          </w:tcPr>
          <w:p w14:paraId="1F296814" w14:textId="704398AA" w:rsidR="00D50A9C" w:rsidRDefault="5AA03CF4" w:rsidP="6EA78EA5">
            <w:r>
              <w:t xml:space="preserve">LVC piederošie topogrāfijas un ģeoloģijas dati ir pieejami </w:t>
            </w:r>
            <w:r w:rsidR="002C016B">
              <w:t>LVC mājaslapā</w:t>
            </w:r>
            <w:r w:rsidR="00D50A9C">
              <w:t>.</w:t>
            </w:r>
            <w:r w:rsidR="0B97F4B7">
              <w:t xml:space="preserve"> </w:t>
            </w:r>
          </w:p>
          <w:p w14:paraId="16AF6AC7" w14:textId="77777777" w:rsidR="00D50A9C" w:rsidRDefault="68DF15B9" w:rsidP="6EA78EA5">
            <w:r>
              <w:t xml:space="preserve">LVC strādā pie risinājuma, lai </w:t>
            </w:r>
            <w:r w:rsidR="002C016B">
              <w:t>k</w:t>
            </w:r>
            <w:r>
              <w:t xml:space="preserve">andidātiem, kas tiks uzaicināti sagatavot sākotnējo piedāvājumu, tiktu dota pieeja Rail </w:t>
            </w:r>
            <w:proofErr w:type="spellStart"/>
            <w:r>
              <w:t>Baltica</w:t>
            </w:r>
            <w:proofErr w:type="spellEnd"/>
            <w:r>
              <w:t xml:space="preserve"> ģeoloģijas datiem. Tie būs pieejami tikai </w:t>
            </w:r>
            <w:r w:rsidR="25A51379">
              <w:t>pret parakstu par ierobežotas pieejamības informācijas konfidencialitātes ievērošanu</w:t>
            </w:r>
            <w:r w:rsidR="0AE2482B">
              <w:t>.</w:t>
            </w:r>
          </w:p>
          <w:p w14:paraId="01476F43" w14:textId="1E8688EB" w:rsidR="00440997" w:rsidRDefault="00440997" w:rsidP="6EA78EA5"/>
        </w:tc>
      </w:tr>
      <w:tr w:rsidR="00D50A9C" w14:paraId="50A40680" w14:textId="77777777" w:rsidTr="00A719CF">
        <w:tc>
          <w:tcPr>
            <w:tcW w:w="709" w:type="dxa"/>
            <w:shd w:val="clear" w:color="auto" w:fill="D9D9D9" w:themeFill="background1" w:themeFillShade="D9"/>
          </w:tcPr>
          <w:p w14:paraId="61F32EAF" w14:textId="30ADB7BA" w:rsidR="00D50A9C" w:rsidRPr="00440997" w:rsidRDefault="00D50A9C" w:rsidP="00D50A9C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3.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4952D151" w14:textId="1F521F4F" w:rsidR="00D50A9C" w:rsidRPr="00953897" w:rsidRDefault="46B9B045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Kad tiks izdota būvatļauja. Kāda būs b</w:t>
            </w:r>
            <w:r w:rsidR="28D7B114" w:rsidRPr="00953897">
              <w:rPr>
                <w:b/>
                <w:bCs/>
              </w:rPr>
              <w:t>ūvatļaujas sasaiste ar zemi</w:t>
            </w:r>
            <w:r w:rsidR="00D50A9C" w:rsidRPr="00953897">
              <w:rPr>
                <w:b/>
                <w:bCs/>
              </w:rPr>
              <w:t>?</w:t>
            </w:r>
          </w:p>
        </w:tc>
        <w:tc>
          <w:tcPr>
            <w:tcW w:w="10033" w:type="dxa"/>
          </w:tcPr>
          <w:p w14:paraId="597B8F99" w14:textId="28100C98" w:rsidR="48A531F3" w:rsidRDefault="002C016B">
            <w:r>
              <w:t>Tiek plānots, ka b</w:t>
            </w:r>
            <w:r w:rsidR="48A531F3">
              <w:t xml:space="preserve">ūvatļauja tiks izdota pirms iepirkuma izsludināšanas. Uz tās pamata tiks </w:t>
            </w:r>
            <w:r>
              <w:t>saņemti</w:t>
            </w:r>
            <w:r w:rsidR="48A531F3">
              <w:t xml:space="preserve"> tehniskie noteikumi.</w:t>
            </w:r>
          </w:p>
          <w:p w14:paraId="0413DD98" w14:textId="10D71D46" w:rsidR="00D50A9C" w:rsidRDefault="00D50A9C">
            <w:r>
              <w:t xml:space="preserve">Būvatļauja </w:t>
            </w:r>
            <w:r w:rsidR="47967A24">
              <w:t>tiks izdota attiecībā uz visu Bauskas apvedceļa un tā infrastruktūrai atvēlēto zemju koridoru</w:t>
            </w:r>
            <w:r w:rsidR="018C10CF">
              <w:t>.</w:t>
            </w:r>
          </w:p>
          <w:p w14:paraId="30682177" w14:textId="77777777" w:rsidR="00D50A9C" w:rsidRDefault="5744E86F">
            <w:r>
              <w:t>Bauskas apvedceļa un tā infrastruktūras izvietošana ārpus zemju koridora nav paredzēta.</w:t>
            </w:r>
          </w:p>
          <w:p w14:paraId="0934FB94" w14:textId="5C5E8CE9" w:rsidR="00440997" w:rsidRDefault="00440997"/>
        </w:tc>
      </w:tr>
      <w:tr w:rsidR="6EA78EA5" w14:paraId="2A02368A" w14:textId="77777777" w:rsidTr="00A719CF">
        <w:trPr>
          <w:trHeight w:val="300"/>
        </w:trPr>
        <w:tc>
          <w:tcPr>
            <w:tcW w:w="709" w:type="dxa"/>
            <w:shd w:val="clear" w:color="auto" w:fill="D9D9D9" w:themeFill="background1" w:themeFillShade="D9"/>
          </w:tcPr>
          <w:p w14:paraId="75C89D78" w14:textId="08A63878" w:rsidR="3FFF4DC1" w:rsidRPr="00440997" w:rsidRDefault="3FFF4DC1" w:rsidP="6EA78EA5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4.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4AF786D7" w14:textId="4EDFF7E3" w:rsidR="3FFF4DC1" w:rsidRPr="00953897" w:rsidRDefault="3FFF4DC1" w:rsidP="6EA78EA5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Kādā valodā būs pieejami iepirkuma dokumenti?</w:t>
            </w:r>
          </w:p>
        </w:tc>
        <w:tc>
          <w:tcPr>
            <w:tcW w:w="10033" w:type="dxa"/>
          </w:tcPr>
          <w:p w14:paraId="00882BAB" w14:textId="77777777" w:rsidR="3FFF4DC1" w:rsidRDefault="3FFF4DC1" w:rsidP="6EA78EA5">
            <w:r>
              <w:t>Iepirkuma nolikums un PPP līgums būs pieejami latviešu un angļu valodā, izņemot iepirkuma nolikuma un PPP līguma pielikumu - tehniskās prasības apvedceļa projektēšanai, būv</w:t>
            </w:r>
            <w:r w:rsidR="002C016B">
              <w:t>darbiem</w:t>
            </w:r>
            <w:r w:rsidR="4787149D">
              <w:t xml:space="preserve">, uzturēšanai un </w:t>
            </w:r>
            <w:proofErr w:type="spellStart"/>
            <w:r w:rsidR="4787149D">
              <w:t>atpakaļnodošanai</w:t>
            </w:r>
            <w:proofErr w:type="spellEnd"/>
            <w:r w:rsidR="4787149D">
              <w:t xml:space="preserve">. </w:t>
            </w:r>
          </w:p>
          <w:p w14:paraId="7C443A03" w14:textId="551A2C18" w:rsidR="00440997" w:rsidRDefault="00440997" w:rsidP="6EA78EA5"/>
        </w:tc>
      </w:tr>
      <w:tr w:rsidR="00D50A9C" w14:paraId="11E12559" w14:textId="77777777" w:rsidTr="00A719CF">
        <w:tc>
          <w:tcPr>
            <w:tcW w:w="709" w:type="dxa"/>
            <w:shd w:val="clear" w:color="auto" w:fill="D9D9D9" w:themeFill="background1" w:themeFillShade="D9"/>
          </w:tcPr>
          <w:p w14:paraId="3F9A3D02" w14:textId="7CCB6A56" w:rsidR="00D50A9C" w:rsidRPr="00440997" w:rsidRDefault="4EB9D77F" w:rsidP="00D50A9C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5</w:t>
            </w:r>
            <w:r w:rsidR="00D50A9C" w:rsidRPr="00440997">
              <w:rPr>
                <w:b/>
                <w:bCs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1B234DC5" w14:textId="22705450" w:rsidR="00D50A9C" w:rsidRPr="00953897" w:rsidRDefault="00D50A9C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Kādā val</w:t>
            </w:r>
            <w:r w:rsidR="4C328053" w:rsidRPr="00953897">
              <w:rPr>
                <w:b/>
                <w:bCs/>
              </w:rPr>
              <w:t>odā jāsniedz dokumenti iepirkumā</w:t>
            </w:r>
            <w:r w:rsidRPr="00953897">
              <w:rPr>
                <w:b/>
                <w:bCs/>
              </w:rPr>
              <w:t>?</w:t>
            </w:r>
          </w:p>
        </w:tc>
        <w:tc>
          <w:tcPr>
            <w:tcW w:w="10033" w:type="dxa"/>
          </w:tcPr>
          <w:p w14:paraId="4E03B432" w14:textId="4DA71616" w:rsidR="00D50A9C" w:rsidRDefault="50EB8025">
            <w:r>
              <w:t xml:space="preserve">Gan kvalifikācijas dokumenti, sākotnējais piedāvājums un labākais un galīgais piedāvājums, gan arī jautājumi LVC par kvalifikācijas vai atlases kārtas nolikumu ir jāsniedz latviešu valodā. </w:t>
            </w:r>
          </w:p>
          <w:p w14:paraId="308363D3" w14:textId="77777777" w:rsidR="00440997" w:rsidRDefault="00440997"/>
          <w:p w14:paraId="346B4274" w14:textId="681A7D04" w:rsidR="00D50A9C" w:rsidRDefault="50EB8025">
            <w:r>
              <w:t>Citā valodā sagatavotiem dokumentiem ir jāpievieno tulkojums latviešu valodā. Tulkojumam nav nepieciešams notariāls apliecinājums.</w:t>
            </w:r>
          </w:p>
        </w:tc>
      </w:tr>
      <w:tr w:rsidR="00D50A9C" w14:paraId="7C817C85" w14:textId="77777777" w:rsidTr="00A719CF">
        <w:tc>
          <w:tcPr>
            <w:tcW w:w="709" w:type="dxa"/>
            <w:shd w:val="clear" w:color="auto" w:fill="D9D9D9" w:themeFill="background1" w:themeFillShade="D9"/>
          </w:tcPr>
          <w:p w14:paraId="758CCBE8" w14:textId="7A040A42" w:rsidR="00D50A9C" w:rsidRPr="00440997" w:rsidRDefault="3AD5C0B4" w:rsidP="00D50A9C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lastRenderedPageBreak/>
              <w:t>6</w:t>
            </w:r>
            <w:r w:rsidR="00D50A9C" w:rsidRPr="00440997">
              <w:rPr>
                <w:b/>
                <w:bCs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357787E8" w14:textId="197FE811" w:rsidR="00D50A9C" w:rsidRPr="00953897" w:rsidRDefault="7371E042" w:rsidP="6EA78EA5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Kad būs pieejama iepirkuma tehniskā specifikācija?</w:t>
            </w:r>
          </w:p>
        </w:tc>
        <w:tc>
          <w:tcPr>
            <w:tcW w:w="10033" w:type="dxa"/>
          </w:tcPr>
          <w:p w14:paraId="070DCE41" w14:textId="77777777" w:rsidR="00D50A9C" w:rsidRDefault="7371E042">
            <w:r>
              <w:t>Tehniskā</w:t>
            </w:r>
            <w:r w:rsidR="002C016B">
              <w:t>s</w:t>
            </w:r>
            <w:r>
              <w:t xml:space="preserve"> specifikācija</w:t>
            </w:r>
            <w:r w:rsidR="002C016B">
              <w:t>s</w:t>
            </w:r>
            <w:r>
              <w:t xml:space="preserve"> (prasības </w:t>
            </w:r>
            <w:r w:rsidR="002C016B">
              <w:t xml:space="preserve">Bauskas </w:t>
            </w:r>
            <w:r>
              <w:t>apvedceļa projektēšanai, būv</w:t>
            </w:r>
            <w:r w:rsidR="002C016B">
              <w:t>darbiem</w:t>
            </w:r>
            <w:r>
              <w:t xml:space="preserve">, uzturēšanai un </w:t>
            </w:r>
            <w:proofErr w:type="spellStart"/>
            <w:r>
              <w:t>atpakaļnodošanai</w:t>
            </w:r>
            <w:proofErr w:type="spellEnd"/>
            <w:r>
              <w:t>) tiks pievienota</w:t>
            </w:r>
            <w:r w:rsidR="002C016B">
              <w:t>s</w:t>
            </w:r>
            <w:r>
              <w:t xml:space="preserve"> pie iepirkuma atlases kārtas nolikuma, ko saņems tikai tie </w:t>
            </w:r>
            <w:r w:rsidR="1F08A38F">
              <w:t xml:space="preserve">kandidāti, kas pēc kvalifikācijas kārtas saņems uzaicinājumu piedalīties </w:t>
            </w:r>
            <w:r w:rsidR="00415067">
              <w:t xml:space="preserve">nākamajā </w:t>
            </w:r>
            <w:r w:rsidR="1F08A38F">
              <w:t xml:space="preserve">iepirkuma </w:t>
            </w:r>
            <w:r w:rsidR="00415067">
              <w:t xml:space="preserve">kārtā - </w:t>
            </w:r>
            <w:r w:rsidR="1F08A38F">
              <w:t xml:space="preserve">atlases kārtā </w:t>
            </w:r>
            <w:r w:rsidR="00415067">
              <w:t xml:space="preserve">- </w:t>
            </w:r>
            <w:r w:rsidR="1F08A38F">
              <w:t>un sagatavot sākotnējo piedāvājumu.</w:t>
            </w:r>
          </w:p>
          <w:p w14:paraId="45A5963D" w14:textId="424426AB" w:rsidR="00440997" w:rsidRDefault="00440997"/>
        </w:tc>
      </w:tr>
      <w:tr w:rsidR="00D50A9C" w14:paraId="58C0D235" w14:textId="77777777" w:rsidTr="00A719CF">
        <w:tc>
          <w:tcPr>
            <w:tcW w:w="709" w:type="dxa"/>
            <w:shd w:val="clear" w:color="auto" w:fill="D9D9D9" w:themeFill="background1" w:themeFillShade="D9"/>
          </w:tcPr>
          <w:p w14:paraId="236104C0" w14:textId="17E46161" w:rsidR="00D50A9C" w:rsidRPr="00440997" w:rsidRDefault="3C4D992E" w:rsidP="00D50A9C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7</w:t>
            </w:r>
            <w:r w:rsidR="00D50A9C" w:rsidRPr="00440997">
              <w:rPr>
                <w:b/>
                <w:bCs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5C00055A" w14:textId="41F81D9B" w:rsidR="00D50A9C" w:rsidRPr="00953897" w:rsidRDefault="00D50A9C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 xml:space="preserve">Vai </w:t>
            </w:r>
            <w:r w:rsidR="0E507051" w:rsidRPr="00953897">
              <w:rPr>
                <w:b/>
                <w:bCs/>
              </w:rPr>
              <w:t xml:space="preserve">LVC uzsāks daļēji maksāt pieejamības maksājumu, ja apvedceļš tiks būvēts un padarīts pieejams satiksmei </w:t>
            </w:r>
            <w:r w:rsidR="00415067">
              <w:rPr>
                <w:b/>
                <w:bCs/>
              </w:rPr>
              <w:t>pa posmiem</w:t>
            </w:r>
            <w:r w:rsidR="0E507051" w:rsidRPr="00953897">
              <w:rPr>
                <w:b/>
                <w:bCs/>
              </w:rPr>
              <w:t>?</w:t>
            </w:r>
          </w:p>
        </w:tc>
        <w:tc>
          <w:tcPr>
            <w:tcW w:w="10033" w:type="dxa"/>
          </w:tcPr>
          <w:p w14:paraId="340F6D59" w14:textId="4EE2B983" w:rsidR="00D50A9C" w:rsidRDefault="00415067" w:rsidP="6EA78EA5">
            <w:r>
              <w:t>Tiek plānots, ka  b</w:t>
            </w:r>
            <w:r w:rsidR="700F80A9">
              <w:t>ūvatļauja tiks izņemta pirms iepirkuma izsludināšanas. Tā aptver</w:t>
            </w:r>
            <w:r>
              <w:t>s</w:t>
            </w:r>
            <w:r w:rsidR="700F80A9">
              <w:t xml:space="preserve"> visu </w:t>
            </w:r>
            <w:r>
              <w:t>Bauskas a</w:t>
            </w:r>
            <w:r w:rsidR="700F80A9">
              <w:t xml:space="preserve">pvedceļu un tā infrastruktūru. PPP līgums neliedz privātajam partnerim dalīt </w:t>
            </w:r>
            <w:r>
              <w:t>b</w:t>
            </w:r>
            <w:r w:rsidR="700F80A9">
              <w:t>ūvatļauju kārtās normatīvajos aktos noteiktajā kārtībā un termiņā, pašam</w:t>
            </w:r>
            <w:r w:rsidR="0F4282D9">
              <w:t xml:space="preserve"> pilnībā </w:t>
            </w:r>
            <w:r w:rsidR="700F80A9">
              <w:t>uzņemoties visus riskus, kas var būt saistīti ar būvatļaujas apstrīdēšanu un privātā par</w:t>
            </w:r>
            <w:r w:rsidR="7CC9A2E5">
              <w:t>tnera iespēju pabeigt būvdarbus paša norādītajā plānotajā pieejamības datumā. Tomēr, neskatoties uz iepriekš minēto, PPP līgums neparedz un nepieļauj daļēji</w:t>
            </w:r>
            <w:r w:rsidR="1B3DE9B0">
              <w:t xml:space="preserve"> maksāt pieejamības maksājumu, pirms viss apvedceļš un tā infrastruktūra ir atvērti satiksmei. </w:t>
            </w:r>
          </w:p>
          <w:p w14:paraId="07DA321A" w14:textId="530DE72C" w:rsidR="00440997" w:rsidRPr="00D50A9C" w:rsidRDefault="00440997" w:rsidP="6EA78EA5"/>
        </w:tc>
      </w:tr>
      <w:tr w:rsidR="00D50A9C" w14:paraId="2FD510CC" w14:textId="77777777" w:rsidTr="00A719CF">
        <w:tc>
          <w:tcPr>
            <w:tcW w:w="709" w:type="dxa"/>
            <w:shd w:val="clear" w:color="auto" w:fill="D9D9D9" w:themeFill="background1" w:themeFillShade="D9"/>
          </w:tcPr>
          <w:p w14:paraId="7E441A10" w14:textId="16163BD9" w:rsidR="00D50A9C" w:rsidRPr="00440997" w:rsidRDefault="18940943" w:rsidP="00D50A9C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8</w:t>
            </w:r>
            <w:r w:rsidR="00D50A9C" w:rsidRPr="00440997">
              <w:rPr>
                <w:b/>
                <w:bCs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15A8E25C" w14:textId="2638DC33" w:rsidR="00D50A9C" w:rsidRPr="00953897" w:rsidRDefault="3899663A" w:rsidP="6EA78EA5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Vai un kāda piekrišana no Ministru kabineta vēl būs jāsaņem PPP līguma slēgšanai?</w:t>
            </w:r>
          </w:p>
        </w:tc>
        <w:tc>
          <w:tcPr>
            <w:tcW w:w="10033" w:type="dxa"/>
          </w:tcPr>
          <w:p w14:paraId="20C18946" w14:textId="77777777" w:rsidR="00D50A9C" w:rsidRDefault="00A719CF" w:rsidP="6EA78E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Spēkā esošie</w:t>
            </w:r>
            <w:r w:rsidR="3899663A" w:rsidRPr="6EA78EA5">
              <w:rPr>
                <w:rFonts w:eastAsiaTheme="minorEastAsia"/>
              </w:rPr>
              <w:t xml:space="preserve"> Ministru kabineta lēmumi ļauj LVC izsludināt un īstenot iepirkumu privātā partnera atlasei. Pirms noslēgt PPP līgumu, Ministru kabinetam tiks iesniegts in</w:t>
            </w:r>
            <w:r w:rsidR="6683708D" w:rsidRPr="6EA78EA5">
              <w:rPr>
                <w:rFonts w:eastAsiaTheme="minorEastAsia"/>
              </w:rPr>
              <w:t>formatīvais ziņojums par iepirkuma rezultāt</w:t>
            </w:r>
            <w:r>
              <w:rPr>
                <w:rFonts w:eastAsiaTheme="minorEastAsia"/>
              </w:rPr>
              <w:t>iem</w:t>
            </w:r>
            <w:r w:rsidR="6683708D" w:rsidRPr="6EA78EA5">
              <w:rPr>
                <w:rFonts w:eastAsiaTheme="minorEastAsia"/>
              </w:rPr>
              <w:t xml:space="preserve">, lai pieņemtu galīgo lēmumu par </w:t>
            </w:r>
            <w:r w:rsidR="00415067">
              <w:rPr>
                <w:rFonts w:eastAsiaTheme="minorEastAsia"/>
              </w:rPr>
              <w:t xml:space="preserve">ilgtermiņa finanšu saistību </w:t>
            </w:r>
            <w:r w:rsidR="6683708D" w:rsidRPr="6EA78EA5">
              <w:rPr>
                <w:rFonts w:eastAsiaTheme="minorEastAsia"/>
              </w:rPr>
              <w:t xml:space="preserve">uzņemšanos, noslēdzot PPP līgumu. </w:t>
            </w:r>
          </w:p>
          <w:p w14:paraId="0B00915B" w14:textId="007F3E1C" w:rsidR="00440997" w:rsidRPr="00D50A9C" w:rsidRDefault="00440997" w:rsidP="6EA78EA5">
            <w:pPr>
              <w:rPr>
                <w:rFonts w:eastAsiaTheme="minorEastAsia"/>
              </w:rPr>
            </w:pPr>
          </w:p>
        </w:tc>
      </w:tr>
      <w:tr w:rsidR="6EA78EA5" w14:paraId="0E1982B2" w14:textId="77777777" w:rsidTr="00A719CF">
        <w:trPr>
          <w:trHeight w:val="300"/>
        </w:trPr>
        <w:tc>
          <w:tcPr>
            <w:tcW w:w="709" w:type="dxa"/>
            <w:shd w:val="clear" w:color="auto" w:fill="D9D9D9" w:themeFill="background1" w:themeFillShade="D9"/>
          </w:tcPr>
          <w:p w14:paraId="0E4382AF" w14:textId="4AA306F4" w:rsidR="610CF9D7" w:rsidRPr="00440997" w:rsidRDefault="610CF9D7" w:rsidP="6EA78EA5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9</w:t>
            </w:r>
            <w:r w:rsidR="6B235496" w:rsidRPr="00440997">
              <w:rPr>
                <w:b/>
                <w:bCs/>
              </w:rPr>
              <w:t xml:space="preserve">. 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389B6B80" w14:textId="77777777" w:rsidR="2B2D5009" w:rsidRDefault="2B2D5009" w:rsidP="6EA78EA5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Kāds būs termiņš kvalifikācijas dokumentu iesniegšanai?</w:t>
            </w:r>
          </w:p>
          <w:p w14:paraId="56B7ACE0" w14:textId="5B040D3E" w:rsidR="00440997" w:rsidRPr="00953897" w:rsidRDefault="00440997" w:rsidP="6EA78EA5">
            <w:pPr>
              <w:rPr>
                <w:b/>
                <w:bCs/>
              </w:rPr>
            </w:pPr>
          </w:p>
        </w:tc>
        <w:tc>
          <w:tcPr>
            <w:tcW w:w="10033" w:type="dxa"/>
          </w:tcPr>
          <w:p w14:paraId="2C5DA589" w14:textId="5DAE4670" w:rsidR="2B2D5009" w:rsidRPr="0003065F" w:rsidRDefault="2B2D5009" w:rsidP="6EA78EA5">
            <w:r w:rsidRPr="0003065F">
              <w:t xml:space="preserve">Kvalifikācijas dokumentu iesniegšanai tiks dotas 6 </w:t>
            </w:r>
            <w:r w:rsidR="45578B3D" w:rsidRPr="0003065F">
              <w:t xml:space="preserve">(sešas) </w:t>
            </w:r>
            <w:r w:rsidRPr="0003065F">
              <w:t xml:space="preserve">nedēļas. </w:t>
            </w:r>
          </w:p>
        </w:tc>
      </w:tr>
      <w:tr w:rsidR="6EA78EA5" w14:paraId="4EF2F0CE" w14:textId="77777777" w:rsidTr="00A719CF">
        <w:trPr>
          <w:trHeight w:val="300"/>
        </w:trPr>
        <w:tc>
          <w:tcPr>
            <w:tcW w:w="709" w:type="dxa"/>
            <w:shd w:val="clear" w:color="auto" w:fill="D9D9D9" w:themeFill="background1" w:themeFillShade="D9"/>
          </w:tcPr>
          <w:p w14:paraId="7B85542D" w14:textId="03C28894" w:rsidR="4F3E6DA2" w:rsidRPr="00440997" w:rsidRDefault="4F3E6DA2" w:rsidP="6EA78EA5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10</w:t>
            </w:r>
            <w:r w:rsidR="2B2D5009" w:rsidRPr="00440997">
              <w:rPr>
                <w:b/>
                <w:bCs/>
              </w:rPr>
              <w:t>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3B578D43" w14:textId="77777777" w:rsidR="2B2D5009" w:rsidRDefault="2B2D5009" w:rsidP="6EA78EA5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Kāds būs termiņš sākotnējo piedāvājumu sagatavošanai?</w:t>
            </w:r>
          </w:p>
          <w:p w14:paraId="3A62B134" w14:textId="01880C4B" w:rsidR="00440997" w:rsidRPr="00953897" w:rsidRDefault="00440997" w:rsidP="6EA78EA5">
            <w:pPr>
              <w:rPr>
                <w:b/>
                <w:bCs/>
              </w:rPr>
            </w:pPr>
          </w:p>
        </w:tc>
        <w:tc>
          <w:tcPr>
            <w:tcW w:w="10033" w:type="dxa"/>
          </w:tcPr>
          <w:p w14:paraId="3917AC0D" w14:textId="5BE09C26" w:rsidR="2B2D5009" w:rsidRPr="0003065F" w:rsidRDefault="2B2D5009" w:rsidP="6EA78EA5">
            <w:r w:rsidRPr="0003065F">
              <w:t xml:space="preserve">Sākotnējo piedāvājumu sagatavošanai tiks doti 6 </w:t>
            </w:r>
            <w:r w:rsidR="0102976B" w:rsidRPr="0003065F">
              <w:t xml:space="preserve">(seši) </w:t>
            </w:r>
            <w:r w:rsidRPr="0003065F">
              <w:t xml:space="preserve">mēneši. </w:t>
            </w:r>
          </w:p>
        </w:tc>
      </w:tr>
      <w:tr w:rsidR="6EA78EA5" w14:paraId="39303789" w14:textId="77777777" w:rsidTr="00A719CF">
        <w:trPr>
          <w:trHeight w:val="300"/>
        </w:trPr>
        <w:tc>
          <w:tcPr>
            <w:tcW w:w="709" w:type="dxa"/>
            <w:shd w:val="clear" w:color="auto" w:fill="D9D9D9" w:themeFill="background1" w:themeFillShade="D9"/>
          </w:tcPr>
          <w:p w14:paraId="5384324A" w14:textId="6447E630" w:rsidR="6A71498F" w:rsidRPr="00440997" w:rsidRDefault="6A71498F" w:rsidP="6EA78EA5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11.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7BB55427" w14:textId="6D52CE62" w:rsidR="6A71498F" w:rsidRPr="00953897" w:rsidRDefault="6A71498F" w:rsidP="6EA78EA5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Iepirkumā pieļautā atsauces projektu ģeogrāfija?</w:t>
            </w:r>
          </w:p>
        </w:tc>
        <w:tc>
          <w:tcPr>
            <w:tcW w:w="10033" w:type="dxa"/>
          </w:tcPr>
          <w:p w14:paraId="44DCCD5A" w14:textId="77777777" w:rsidR="6A71498F" w:rsidRDefault="6A71498F" w:rsidP="6EA78EA5">
            <w:r>
              <w:t xml:space="preserve">Visiem atsauces projektiem </w:t>
            </w:r>
            <w:r w:rsidR="00A719CF">
              <w:t>k</w:t>
            </w:r>
            <w:r>
              <w:t xml:space="preserve">andidātu </w:t>
            </w:r>
            <w:r w:rsidR="13346436">
              <w:t xml:space="preserve">un to piesaistīto apakšuzņēmēju un ekspertu </w:t>
            </w:r>
            <w:r>
              <w:t>pieredzes pierādīšanai (projektēšana, būv</w:t>
            </w:r>
            <w:r w:rsidR="00A719CF">
              <w:t>darbi</w:t>
            </w:r>
            <w:r>
              <w:t>, uzturēšana, PPP</w:t>
            </w:r>
            <w:r w:rsidR="00A719CF">
              <w:t xml:space="preserve"> pieredze</w:t>
            </w:r>
            <w:r>
              <w:t>) ir jābūt īstenotiem Eiropas Savienīb</w:t>
            </w:r>
            <w:r w:rsidR="332CFDF9">
              <w:t xml:space="preserve">as vai Eiropas Ekonomiskās Zonas dalībvalstī, Lielbritānijā vai Šveicē. </w:t>
            </w:r>
          </w:p>
          <w:p w14:paraId="44B788A7" w14:textId="39263651" w:rsidR="00440997" w:rsidRDefault="00440997" w:rsidP="6EA78EA5"/>
        </w:tc>
      </w:tr>
      <w:tr w:rsidR="6EA78EA5" w14:paraId="5145C772" w14:textId="77777777" w:rsidTr="00A719CF">
        <w:trPr>
          <w:trHeight w:val="300"/>
        </w:trPr>
        <w:tc>
          <w:tcPr>
            <w:tcW w:w="709" w:type="dxa"/>
            <w:shd w:val="clear" w:color="auto" w:fill="D9D9D9" w:themeFill="background1" w:themeFillShade="D9"/>
          </w:tcPr>
          <w:p w14:paraId="34559D6E" w14:textId="1323F980" w:rsidR="4C475CF9" w:rsidRPr="00440997" w:rsidRDefault="4C475CF9" w:rsidP="6EA78EA5">
            <w:pPr>
              <w:jc w:val="center"/>
              <w:rPr>
                <w:b/>
                <w:bCs/>
              </w:rPr>
            </w:pPr>
            <w:r w:rsidRPr="00440997">
              <w:rPr>
                <w:b/>
                <w:bCs/>
              </w:rPr>
              <w:t>12.</w:t>
            </w:r>
          </w:p>
        </w:tc>
        <w:tc>
          <w:tcPr>
            <w:tcW w:w="3292" w:type="dxa"/>
            <w:shd w:val="clear" w:color="auto" w:fill="D9D9D9" w:themeFill="background1" w:themeFillShade="D9"/>
          </w:tcPr>
          <w:p w14:paraId="14D09E03" w14:textId="509B86DC" w:rsidR="4C475CF9" w:rsidRPr="00953897" w:rsidRDefault="4C475CF9" w:rsidP="6EA78EA5">
            <w:pPr>
              <w:rPr>
                <w:b/>
                <w:bCs/>
              </w:rPr>
            </w:pPr>
            <w:r w:rsidRPr="00953897">
              <w:rPr>
                <w:b/>
                <w:bCs/>
              </w:rPr>
              <w:t>Vai iepirkumā tiks prasīts piedāvājuma nodrošinājums?</w:t>
            </w:r>
          </w:p>
        </w:tc>
        <w:tc>
          <w:tcPr>
            <w:tcW w:w="10033" w:type="dxa"/>
          </w:tcPr>
          <w:p w14:paraId="0645C8ED" w14:textId="253E7640" w:rsidR="4C475CF9" w:rsidRDefault="4C475CF9" w:rsidP="6EA78EA5">
            <w:r>
              <w:t>Viens piedāvājuma nodrošinājums tiks prasīts kopā ar sākotnējā piedāvājuma iesniegšanu</w:t>
            </w:r>
            <w:r w:rsidR="00A719CF">
              <w:t>, o</w:t>
            </w:r>
            <w:r>
              <w:t xml:space="preserve">trs piedāvājuma nodrošinājums </w:t>
            </w:r>
            <w:r w:rsidR="00A719CF">
              <w:t>-</w:t>
            </w:r>
            <w:r>
              <w:t xml:space="preserve"> kopā ar labākā un galīgā piedāvājuma iesniegšanu. </w:t>
            </w:r>
          </w:p>
          <w:p w14:paraId="61D0E799" w14:textId="77777777" w:rsidR="4C475CF9" w:rsidRDefault="4C475CF9" w:rsidP="6EA78EA5">
            <w:r>
              <w:t xml:space="preserve">Katrs no piedāvājuma nodrošinājumiem iesniedzams 1’000’000 EUR (viens miljons </w:t>
            </w:r>
            <w:proofErr w:type="spellStart"/>
            <w:r>
              <w:t>euro</w:t>
            </w:r>
            <w:proofErr w:type="spellEnd"/>
            <w:r>
              <w:t xml:space="preserve">) apmērā bankas garantijas vai apdrošināšanas polises formā. </w:t>
            </w:r>
          </w:p>
          <w:p w14:paraId="36457DE3" w14:textId="0BD971B2" w:rsidR="00440997" w:rsidRDefault="00440997" w:rsidP="6EA78EA5"/>
        </w:tc>
      </w:tr>
    </w:tbl>
    <w:p w14:paraId="0C199888" w14:textId="77777777" w:rsidR="00D50A9C" w:rsidRDefault="00D50A9C"/>
    <w:sectPr w:rsidR="00D50A9C" w:rsidSect="00A719CF">
      <w:headerReference w:type="default" r:id="rId9"/>
      <w:footerReference w:type="default" r:id="rId10"/>
      <w:pgSz w:w="15840" w:h="12240" w:orient="landscape"/>
      <w:pgMar w:top="568" w:right="567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DAF6" w14:textId="77777777" w:rsidR="00A719CF" w:rsidRDefault="00A719CF" w:rsidP="00A719CF">
      <w:pPr>
        <w:spacing w:after="0" w:line="240" w:lineRule="auto"/>
      </w:pPr>
      <w:r>
        <w:separator/>
      </w:r>
    </w:p>
  </w:endnote>
  <w:endnote w:type="continuationSeparator" w:id="0">
    <w:p w14:paraId="46651206" w14:textId="77777777" w:rsidR="00A719CF" w:rsidRDefault="00A719CF" w:rsidP="00A7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947A" w14:textId="49D5E5C3" w:rsidR="00440997" w:rsidRPr="00440997" w:rsidRDefault="00440997" w:rsidP="00440997">
    <w:pPr>
      <w:pStyle w:val="Header"/>
      <w:jc w:val="right"/>
      <w:rPr>
        <w:rFonts w:ascii="Times New Roman" w:hAnsi="Times New Roman" w:cs="Times New Roman"/>
        <w:b/>
        <w:bCs/>
        <w:i/>
        <w:iCs/>
      </w:rPr>
    </w:pPr>
    <w:r w:rsidRPr="00440997">
      <w:rPr>
        <w:rFonts w:ascii="Times New Roman" w:hAnsi="Times New Roman" w:cs="Times New Roman"/>
        <w:b/>
        <w:bCs/>
        <w:i/>
        <w:iCs/>
        <w:color w:val="808080" w:themeColor="background1" w:themeShade="80"/>
      </w:rPr>
      <w:t>VSIA “Latvijas Valsts ceļi”, Bauskas apvedceļa PPP projekta Informatīvās dienas II</w:t>
    </w:r>
  </w:p>
  <w:p w14:paraId="25ABA4DB" w14:textId="76EBA996" w:rsidR="00440997" w:rsidRDefault="00440997" w:rsidP="00440997">
    <w:pPr>
      <w:pStyle w:val="Footer"/>
      <w:jc w:val="right"/>
    </w:pPr>
  </w:p>
  <w:p w14:paraId="281C0104" w14:textId="77777777" w:rsidR="00440997" w:rsidRDefault="004409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9DA65" w14:textId="77777777" w:rsidR="00A719CF" w:rsidRDefault="00A719CF" w:rsidP="00A719CF">
      <w:pPr>
        <w:spacing w:after="0" w:line="240" w:lineRule="auto"/>
      </w:pPr>
      <w:r>
        <w:separator/>
      </w:r>
    </w:p>
  </w:footnote>
  <w:footnote w:type="continuationSeparator" w:id="0">
    <w:p w14:paraId="1782BEF4" w14:textId="77777777" w:rsidR="00A719CF" w:rsidRDefault="00A719CF" w:rsidP="00A7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D68E" w14:textId="2A9A9E20" w:rsidR="00A719CF" w:rsidRPr="00440997" w:rsidRDefault="00A719CF" w:rsidP="00440997">
    <w:pPr>
      <w:pStyle w:val="Header"/>
      <w:jc w:val="right"/>
      <w:rPr>
        <w:rFonts w:ascii="Times New Roman" w:hAnsi="Times New Roman" w:cs="Times New Roman"/>
        <w:b/>
        <w:bCs/>
        <w:i/>
        <w:iCs/>
      </w:rPr>
    </w:pPr>
    <w:r w:rsidRPr="00440997">
      <w:rPr>
        <w:rFonts w:ascii="Times New Roman" w:hAnsi="Times New Roman" w:cs="Times New Roman"/>
        <w:b/>
        <w:bCs/>
        <w:i/>
        <w:iCs/>
        <w:color w:val="808080" w:themeColor="background1" w:themeShade="80"/>
      </w:rPr>
      <w:t>VSIA “Latvijas Valsts ceļi”, Bauskas apvedceļa PPP projekta Informatīvās dienas II</w:t>
    </w:r>
  </w:p>
  <w:p w14:paraId="05BAA6AE" w14:textId="77777777" w:rsidR="00A719CF" w:rsidRDefault="00A719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56"/>
    <w:rsid w:val="0003065F"/>
    <w:rsid w:val="00070C05"/>
    <w:rsid w:val="001E7739"/>
    <w:rsid w:val="00200E4E"/>
    <w:rsid w:val="002C016B"/>
    <w:rsid w:val="0041206B"/>
    <w:rsid w:val="00415067"/>
    <w:rsid w:val="00422135"/>
    <w:rsid w:val="00440997"/>
    <w:rsid w:val="00782D56"/>
    <w:rsid w:val="00793C89"/>
    <w:rsid w:val="007C1F2A"/>
    <w:rsid w:val="00953897"/>
    <w:rsid w:val="00953ED5"/>
    <w:rsid w:val="009C2CFC"/>
    <w:rsid w:val="00A719CF"/>
    <w:rsid w:val="00AA7107"/>
    <w:rsid w:val="00D50A9C"/>
    <w:rsid w:val="00DD42E5"/>
    <w:rsid w:val="00EE481A"/>
    <w:rsid w:val="00F805F6"/>
    <w:rsid w:val="0102976B"/>
    <w:rsid w:val="01705F34"/>
    <w:rsid w:val="018C10CF"/>
    <w:rsid w:val="02B88603"/>
    <w:rsid w:val="03160093"/>
    <w:rsid w:val="03BAC511"/>
    <w:rsid w:val="03EA254C"/>
    <w:rsid w:val="04EBA46D"/>
    <w:rsid w:val="09DF96B5"/>
    <w:rsid w:val="0A7BF33D"/>
    <w:rsid w:val="0AE2482B"/>
    <w:rsid w:val="0B551536"/>
    <w:rsid w:val="0B97F4B7"/>
    <w:rsid w:val="0E507051"/>
    <w:rsid w:val="0F4282D9"/>
    <w:rsid w:val="0FED07E4"/>
    <w:rsid w:val="11A0FD0A"/>
    <w:rsid w:val="132FBDB0"/>
    <w:rsid w:val="13346436"/>
    <w:rsid w:val="1359CCC8"/>
    <w:rsid w:val="14006E09"/>
    <w:rsid w:val="142DC55D"/>
    <w:rsid w:val="14A20489"/>
    <w:rsid w:val="15BCF07A"/>
    <w:rsid w:val="15F8A69C"/>
    <w:rsid w:val="18940943"/>
    <w:rsid w:val="19940544"/>
    <w:rsid w:val="19957878"/>
    <w:rsid w:val="1A3B7FA7"/>
    <w:rsid w:val="1B3DE9B0"/>
    <w:rsid w:val="1D5FCB8E"/>
    <w:rsid w:val="1F08A38F"/>
    <w:rsid w:val="1F5F8657"/>
    <w:rsid w:val="2128061A"/>
    <w:rsid w:val="212E49B1"/>
    <w:rsid w:val="22782404"/>
    <w:rsid w:val="22C2A708"/>
    <w:rsid w:val="23BE1817"/>
    <w:rsid w:val="23DE9FE8"/>
    <w:rsid w:val="25A51379"/>
    <w:rsid w:val="26DAC4B5"/>
    <w:rsid w:val="28D7B114"/>
    <w:rsid w:val="29DE93A2"/>
    <w:rsid w:val="2A6E8210"/>
    <w:rsid w:val="2B2D5009"/>
    <w:rsid w:val="2D1A6BFA"/>
    <w:rsid w:val="2D280251"/>
    <w:rsid w:val="2D524886"/>
    <w:rsid w:val="2F9522EA"/>
    <w:rsid w:val="3187289D"/>
    <w:rsid w:val="322D77E6"/>
    <w:rsid w:val="3277BC95"/>
    <w:rsid w:val="332CFDF9"/>
    <w:rsid w:val="3522DF40"/>
    <w:rsid w:val="36231948"/>
    <w:rsid w:val="37662E7D"/>
    <w:rsid w:val="38013F0D"/>
    <w:rsid w:val="38873939"/>
    <w:rsid w:val="3899663A"/>
    <w:rsid w:val="393BED4D"/>
    <w:rsid w:val="3A35523F"/>
    <w:rsid w:val="3AD5C0B4"/>
    <w:rsid w:val="3B8E45FB"/>
    <w:rsid w:val="3C4D992E"/>
    <w:rsid w:val="3C59E05F"/>
    <w:rsid w:val="3DCDE73F"/>
    <w:rsid w:val="3E24625D"/>
    <w:rsid w:val="3E3371B0"/>
    <w:rsid w:val="3EA44336"/>
    <w:rsid w:val="3FC230AD"/>
    <w:rsid w:val="3FEEFE35"/>
    <w:rsid w:val="3FFF4DC1"/>
    <w:rsid w:val="40DDA947"/>
    <w:rsid w:val="41261C35"/>
    <w:rsid w:val="43F9624E"/>
    <w:rsid w:val="45578B3D"/>
    <w:rsid w:val="46B9B045"/>
    <w:rsid w:val="4787149D"/>
    <w:rsid w:val="47967A24"/>
    <w:rsid w:val="47ADF955"/>
    <w:rsid w:val="48091FF8"/>
    <w:rsid w:val="48A531F3"/>
    <w:rsid w:val="490EDCF0"/>
    <w:rsid w:val="4A32FA83"/>
    <w:rsid w:val="4A4CB723"/>
    <w:rsid w:val="4B8FE47B"/>
    <w:rsid w:val="4C328053"/>
    <w:rsid w:val="4C475CF9"/>
    <w:rsid w:val="4DE3C0DD"/>
    <w:rsid w:val="4E45374D"/>
    <w:rsid w:val="4EB9D77F"/>
    <w:rsid w:val="4F233517"/>
    <w:rsid w:val="4F3E6DA2"/>
    <w:rsid w:val="4FC73715"/>
    <w:rsid w:val="508F6F2A"/>
    <w:rsid w:val="50D4EDFB"/>
    <w:rsid w:val="50EB8025"/>
    <w:rsid w:val="50FD1610"/>
    <w:rsid w:val="5184F642"/>
    <w:rsid w:val="543BCD22"/>
    <w:rsid w:val="54828DA7"/>
    <w:rsid w:val="54A4EC58"/>
    <w:rsid w:val="566FAF8F"/>
    <w:rsid w:val="569F12A1"/>
    <w:rsid w:val="56FA9136"/>
    <w:rsid w:val="5744E86F"/>
    <w:rsid w:val="57CF20A1"/>
    <w:rsid w:val="582856A8"/>
    <w:rsid w:val="58A6AA26"/>
    <w:rsid w:val="59207927"/>
    <w:rsid w:val="59D69FA1"/>
    <w:rsid w:val="5A233A59"/>
    <w:rsid w:val="5A695F5A"/>
    <w:rsid w:val="5AA03CF4"/>
    <w:rsid w:val="5C2BC56C"/>
    <w:rsid w:val="5DB58795"/>
    <w:rsid w:val="5EF2FFBC"/>
    <w:rsid w:val="610CF9D7"/>
    <w:rsid w:val="61642B00"/>
    <w:rsid w:val="61A6A158"/>
    <w:rsid w:val="62FB7674"/>
    <w:rsid w:val="657B5E78"/>
    <w:rsid w:val="6683708D"/>
    <w:rsid w:val="67FC34FA"/>
    <w:rsid w:val="68DF15B9"/>
    <w:rsid w:val="69D604A5"/>
    <w:rsid w:val="6A71498F"/>
    <w:rsid w:val="6B235496"/>
    <w:rsid w:val="6B2D32FA"/>
    <w:rsid w:val="6BFE0AB5"/>
    <w:rsid w:val="6E2BE667"/>
    <w:rsid w:val="6E873D7C"/>
    <w:rsid w:val="6EA78EA5"/>
    <w:rsid w:val="6F1F3723"/>
    <w:rsid w:val="6F27370E"/>
    <w:rsid w:val="6F2D8B73"/>
    <w:rsid w:val="6F7308E2"/>
    <w:rsid w:val="700F80A9"/>
    <w:rsid w:val="7328A40A"/>
    <w:rsid w:val="7371E042"/>
    <w:rsid w:val="759D2C35"/>
    <w:rsid w:val="7701E72D"/>
    <w:rsid w:val="77A94662"/>
    <w:rsid w:val="77BC14EE"/>
    <w:rsid w:val="79661F1F"/>
    <w:rsid w:val="7C58F7F6"/>
    <w:rsid w:val="7CC9A2E5"/>
    <w:rsid w:val="7D81940C"/>
    <w:rsid w:val="7D84F3BB"/>
    <w:rsid w:val="7D8F25AC"/>
    <w:rsid w:val="7E2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EEF5"/>
  <w15:chartTrackingRefBased/>
  <w15:docId w15:val="{6C3190EB-0303-4CC2-8B7F-238FBFAC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D5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D5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D56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D56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D56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D56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D56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D56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D56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782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D56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D56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78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D56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782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D56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782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1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9CF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71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9CF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3088e-57ec-443d-9d52-6ac9a2291f16">
      <Terms xmlns="http://schemas.microsoft.com/office/infopath/2007/PartnerControls"/>
    </lcf76f155ced4ddcb4097134ff3c332f>
    <TaxCatchAll xmlns="b18bb410-a950-46fa-9e0b-f02cdbefbd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CCC94FCA85C408FE8337F4E3DF34E" ma:contentTypeVersion="18" ma:contentTypeDescription="Create a new document." ma:contentTypeScope="" ma:versionID="58efc2967397d99c38c944b685ec40e4">
  <xsd:schema xmlns:xsd="http://www.w3.org/2001/XMLSchema" xmlns:xs="http://www.w3.org/2001/XMLSchema" xmlns:p="http://schemas.microsoft.com/office/2006/metadata/properties" xmlns:ns2="b18bb410-a950-46fa-9e0b-f02cdbefbd46" xmlns:ns3="4c93088e-57ec-443d-9d52-6ac9a2291f16" targetNamespace="http://schemas.microsoft.com/office/2006/metadata/properties" ma:root="true" ma:fieldsID="57c12f86f425e93b5506b34a846b709e" ns2:_="" ns3:_="">
    <xsd:import namespace="b18bb410-a950-46fa-9e0b-f02cdbefbd46"/>
    <xsd:import namespace="4c93088e-57ec-443d-9d52-6ac9a2291f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bb410-a950-46fa-9e0b-f02cdbefbd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781405-c432-43c8-ad66-ef9ba7187610}" ma:internalName="TaxCatchAll" ma:showField="CatchAllData" ma:web="b18bb410-a950-46fa-9e0b-f02cdbefb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3088e-57ec-443d-9d52-6ac9a2291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da42e8-aa98-4cfa-a75d-0c185b9639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113A71-3717-433E-89A6-409C667067ED}">
  <ds:schemaRefs>
    <ds:schemaRef ds:uri="http://schemas.microsoft.com/office/2006/metadata/properties"/>
    <ds:schemaRef ds:uri="http://schemas.microsoft.com/office/infopath/2007/PartnerControls"/>
    <ds:schemaRef ds:uri="4c93088e-57ec-443d-9d52-6ac9a2291f16"/>
    <ds:schemaRef ds:uri="b18bb410-a950-46fa-9e0b-f02cdbefbd46"/>
  </ds:schemaRefs>
</ds:datastoreItem>
</file>

<file path=customXml/itemProps2.xml><?xml version="1.0" encoding="utf-8"?>
<ds:datastoreItem xmlns:ds="http://schemas.openxmlformats.org/officeDocument/2006/customXml" ds:itemID="{0C5434F1-6420-4E2A-8D6C-33A20037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8bb410-a950-46fa-9e0b-f02cdbefbd46"/>
    <ds:schemaRef ds:uri="4c93088e-57ec-443d-9d52-6ac9a2291f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0095E7-49CF-43A0-932C-6D1017CF29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2826</Words>
  <Characters>1612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CE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Millere, Iveta</dc:creator>
  <cp:keywords/>
  <dc:description/>
  <cp:lastModifiedBy>Kristīne Apsalone</cp:lastModifiedBy>
  <cp:revision>2</cp:revision>
  <dcterms:created xsi:type="dcterms:W3CDTF">2025-12-23T09:21:00Z</dcterms:created>
  <dcterms:modified xsi:type="dcterms:W3CDTF">2025-12-23T09:21:00Z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0x010100444CCC94FCA85C408FE8337F4E3DF34E</vt:lpwstr>
  </property>
  <property fmtid="{D5CDD505-2E9C-101B-9397-08002B2CF9AE}" pid="3" name="MediaServiceImageTags">
    <vt:lpwstr/>
  </property>
</Properties>
</file>