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E351" w14:textId="2A7ECB39" w:rsidR="00954B4C" w:rsidRPr="00D41442" w:rsidRDefault="00646A9A" w:rsidP="00D41442">
      <w:pPr>
        <w:jc w:val="both"/>
        <w:rPr>
          <w:rFonts w:ascii="Montserrat" w:hAnsi="Montserrat"/>
          <w:b/>
          <w:bCs/>
          <w:sz w:val="28"/>
          <w:szCs w:val="28"/>
        </w:rPr>
      </w:pPr>
      <w:r>
        <w:rPr>
          <w:rFonts w:ascii="Montserrat" w:hAnsi="Montserrat"/>
          <w:b/>
          <w:bCs/>
          <w:sz w:val="28"/>
          <w:szCs w:val="28"/>
        </w:rPr>
        <w:t xml:space="preserve">Information Day </w:t>
      </w:r>
      <w:r w:rsidR="00954B4C" w:rsidRPr="00D41442">
        <w:rPr>
          <w:rFonts w:ascii="Montserrat" w:hAnsi="Montserrat"/>
          <w:b/>
          <w:bCs/>
          <w:sz w:val="28"/>
          <w:szCs w:val="28"/>
        </w:rPr>
        <w:t xml:space="preserve">I Q&amp;A </w:t>
      </w:r>
      <w:r w:rsidR="00885972" w:rsidRPr="00D41442">
        <w:rPr>
          <w:rFonts w:ascii="Montserrat" w:hAnsi="Montserrat"/>
          <w:b/>
          <w:bCs/>
          <w:sz w:val="28"/>
          <w:szCs w:val="28"/>
        </w:rPr>
        <w:t>S</w:t>
      </w:r>
      <w:r w:rsidR="00954B4C" w:rsidRPr="00D41442">
        <w:rPr>
          <w:rFonts w:ascii="Montserrat" w:hAnsi="Montserrat"/>
          <w:b/>
          <w:bCs/>
          <w:sz w:val="28"/>
          <w:szCs w:val="28"/>
        </w:rPr>
        <w:t>ummary</w:t>
      </w:r>
    </w:p>
    <w:p w14:paraId="1C0C6B6A" w14:textId="0A919654" w:rsidR="00B06C91" w:rsidRPr="00DC37D0" w:rsidRDefault="00193F37" w:rsidP="00D41442">
      <w:pPr>
        <w:jc w:val="both"/>
        <w:rPr>
          <w:rFonts w:ascii="Montserrat" w:hAnsi="Montserrat"/>
          <w:b/>
          <w:bCs/>
          <w:sz w:val="24"/>
          <w:szCs w:val="24"/>
        </w:rPr>
      </w:pPr>
      <w:r w:rsidRPr="00DC37D0">
        <w:rPr>
          <w:rFonts w:ascii="Montserrat" w:hAnsi="Montserrat"/>
          <w:b/>
          <w:bCs/>
          <w:sz w:val="24"/>
          <w:szCs w:val="24"/>
        </w:rPr>
        <w:t xml:space="preserve">Project </w:t>
      </w:r>
      <w:r w:rsidR="00B06C91" w:rsidRPr="00DC37D0">
        <w:rPr>
          <w:rFonts w:ascii="Montserrat" w:hAnsi="Montserrat"/>
          <w:b/>
          <w:bCs/>
          <w:sz w:val="24"/>
          <w:szCs w:val="24"/>
        </w:rPr>
        <w:t>Timeline</w:t>
      </w:r>
    </w:p>
    <w:p w14:paraId="51667C37" w14:textId="3D33B1A5" w:rsidR="00BE5354" w:rsidRPr="00D41442" w:rsidRDefault="00BE5354" w:rsidP="00D41442">
      <w:pPr>
        <w:jc w:val="both"/>
        <w:rPr>
          <w:rFonts w:ascii="Montserrat" w:hAnsi="Montserrat"/>
        </w:rPr>
      </w:pPr>
      <w:r w:rsidRPr="00D41442">
        <w:rPr>
          <w:rFonts w:ascii="Montserrat" w:hAnsi="Montserrat"/>
        </w:rPr>
        <w:t xml:space="preserve">The initial </w:t>
      </w:r>
      <w:hyperlink r:id="rId8" w:history="1">
        <w:r w:rsidRPr="00A47F52">
          <w:rPr>
            <w:rStyle w:val="Hipersaite"/>
            <w:rFonts w:ascii="Montserrat" w:hAnsi="Montserrat"/>
            <w:b/>
            <w:bCs/>
          </w:rPr>
          <w:t>high-level timeline</w:t>
        </w:r>
      </w:hyperlink>
      <w:r w:rsidRPr="00D41442">
        <w:rPr>
          <w:rFonts w:ascii="Montserrat" w:hAnsi="Montserrat"/>
        </w:rPr>
        <w:t xml:space="preserve"> was presented during </w:t>
      </w:r>
      <w:r w:rsidR="00646A9A" w:rsidRPr="00646A9A">
        <w:rPr>
          <w:rFonts w:ascii="Montserrat" w:hAnsi="Montserrat"/>
        </w:rPr>
        <w:t>Information</w:t>
      </w:r>
      <w:r w:rsidR="00646A9A" w:rsidRPr="00D41442">
        <w:rPr>
          <w:rFonts w:ascii="Montserrat" w:hAnsi="Montserrat"/>
        </w:rPr>
        <w:t xml:space="preserve"> </w:t>
      </w:r>
      <w:r w:rsidRPr="00D41442">
        <w:rPr>
          <w:rFonts w:ascii="Montserrat" w:hAnsi="Montserrat"/>
        </w:rPr>
        <w:t xml:space="preserve">Day I held on 11 June 2025. A more precise timeline will be presented during </w:t>
      </w:r>
      <w:r w:rsidR="00646A9A" w:rsidRPr="00646A9A">
        <w:rPr>
          <w:rFonts w:ascii="Montserrat" w:hAnsi="Montserrat"/>
        </w:rPr>
        <w:t>Information</w:t>
      </w:r>
      <w:r w:rsidR="00646A9A" w:rsidRPr="00D41442">
        <w:rPr>
          <w:rFonts w:ascii="Montserrat" w:hAnsi="Montserrat"/>
        </w:rPr>
        <w:t xml:space="preserve"> </w:t>
      </w:r>
      <w:r w:rsidRPr="00D41442">
        <w:rPr>
          <w:rFonts w:ascii="Montserrat" w:hAnsi="Montserrat"/>
        </w:rPr>
        <w:t xml:space="preserve">Day II, to be held in November 2025. An informative alert regarding the approaching date for the announcement of the competitive procedure with negotiations will be published on </w:t>
      </w:r>
      <w:r w:rsidRPr="00646A9A">
        <w:rPr>
          <w:rFonts w:ascii="Montserrat" w:hAnsi="Montserrat"/>
          <w:i/>
          <w:iCs/>
        </w:rPr>
        <w:t>Latvian State Roads</w:t>
      </w:r>
      <w:r w:rsidRPr="00D41442">
        <w:rPr>
          <w:rFonts w:ascii="Montserrat" w:hAnsi="Montserrat"/>
        </w:rPr>
        <w:t xml:space="preserve"> </w:t>
      </w:r>
      <w:r w:rsidR="00507AE9" w:rsidRPr="00D41442">
        <w:rPr>
          <w:rFonts w:ascii="Montserrat" w:hAnsi="Montserrat"/>
        </w:rPr>
        <w:t xml:space="preserve">(LSR) </w:t>
      </w:r>
      <w:r w:rsidRPr="00D41442">
        <w:rPr>
          <w:rFonts w:ascii="Montserrat" w:hAnsi="Montserrat"/>
        </w:rPr>
        <w:t>website. The tender is an EU-wide procedure, and the contract notice will be published in the Official Journal of the European Union (OJEU).</w:t>
      </w:r>
    </w:p>
    <w:p w14:paraId="20B8D7F1" w14:textId="02E8D0FB" w:rsidR="00DB1C89" w:rsidRPr="00DC37D0" w:rsidRDefault="00DB1C89" w:rsidP="00D41442">
      <w:pPr>
        <w:jc w:val="both"/>
        <w:rPr>
          <w:rFonts w:ascii="Montserrat" w:hAnsi="Montserrat"/>
          <w:b/>
          <w:bCs/>
          <w:sz w:val="24"/>
          <w:szCs w:val="24"/>
        </w:rPr>
      </w:pPr>
      <w:r w:rsidRPr="00DC37D0">
        <w:rPr>
          <w:rFonts w:ascii="Montserrat" w:hAnsi="Montserrat"/>
          <w:b/>
          <w:bCs/>
          <w:sz w:val="24"/>
          <w:szCs w:val="24"/>
        </w:rPr>
        <w:t>Land</w:t>
      </w:r>
    </w:p>
    <w:p w14:paraId="791F32A6" w14:textId="55F4C9EB" w:rsidR="00FF3375" w:rsidRPr="00D41442" w:rsidRDefault="00FF3375" w:rsidP="00D41442">
      <w:pPr>
        <w:jc w:val="both"/>
        <w:rPr>
          <w:rFonts w:ascii="Montserrat" w:hAnsi="Montserrat"/>
        </w:rPr>
      </w:pPr>
      <w:r w:rsidRPr="00D41442">
        <w:rPr>
          <w:rFonts w:ascii="Montserrat" w:hAnsi="Montserrat"/>
        </w:rPr>
        <w:t>LSR is in the process of expropriating a land corridor that will provide sufficient space for efficient and innovative technical solutions for the Bauska Bypass and parallel roads. Land acquisition will be completed by the time of the Financial and Commercial Close.</w:t>
      </w:r>
    </w:p>
    <w:p w14:paraId="380A3DE0" w14:textId="415D7C1E" w:rsidR="00B06C91" w:rsidRPr="00646A9A" w:rsidRDefault="00B06C91" w:rsidP="00D41442">
      <w:pPr>
        <w:jc w:val="both"/>
        <w:rPr>
          <w:rFonts w:ascii="Montserrat" w:hAnsi="Montserrat"/>
          <w:b/>
          <w:bCs/>
          <w:i/>
          <w:iCs/>
          <w:sz w:val="24"/>
          <w:szCs w:val="24"/>
        </w:rPr>
      </w:pPr>
      <w:r w:rsidRPr="00646A9A">
        <w:rPr>
          <w:rFonts w:ascii="Montserrat" w:hAnsi="Montserrat"/>
          <w:b/>
          <w:bCs/>
          <w:i/>
          <w:iCs/>
          <w:sz w:val="24"/>
          <w:szCs w:val="24"/>
        </w:rPr>
        <w:t>Rail</w:t>
      </w:r>
      <w:r w:rsidR="00261553" w:rsidRPr="00646A9A">
        <w:rPr>
          <w:rFonts w:ascii="Montserrat" w:hAnsi="Montserrat"/>
          <w:b/>
          <w:bCs/>
          <w:i/>
          <w:iCs/>
          <w:sz w:val="24"/>
          <w:szCs w:val="24"/>
        </w:rPr>
        <w:t xml:space="preserve"> Baltica</w:t>
      </w:r>
    </w:p>
    <w:p w14:paraId="7540C650" w14:textId="391535F8" w:rsidR="00850112" w:rsidRPr="00D41442" w:rsidRDefault="00850112" w:rsidP="00D41442">
      <w:pPr>
        <w:jc w:val="both"/>
        <w:rPr>
          <w:rFonts w:ascii="Montserrat" w:hAnsi="Montserrat"/>
        </w:rPr>
      </w:pPr>
      <w:r w:rsidRPr="00D41442">
        <w:rPr>
          <w:rFonts w:ascii="Montserrat" w:hAnsi="Montserrat"/>
        </w:rPr>
        <w:t xml:space="preserve">Irrespective of the fact that the Bauska Bypass and </w:t>
      </w:r>
      <w:r w:rsidRPr="00646A9A">
        <w:rPr>
          <w:rFonts w:ascii="Montserrat" w:hAnsi="Montserrat"/>
          <w:i/>
          <w:iCs/>
        </w:rPr>
        <w:t>Rail Baltica</w:t>
      </w:r>
      <w:r w:rsidRPr="00D41442">
        <w:rPr>
          <w:rFonts w:ascii="Montserrat" w:hAnsi="Montserrat"/>
        </w:rPr>
        <w:t xml:space="preserve"> will be very close to each other, it is expected that a separate construction site will be established for each of the two projects. In the case of parallel use of these separate construction sites, solutions will be agreed with </w:t>
      </w:r>
      <w:r w:rsidRPr="00646A9A">
        <w:rPr>
          <w:rFonts w:ascii="Montserrat" w:hAnsi="Montserrat"/>
          <w:i/>
          <w:iCs/>
        </w:rPr>
        <w:t>Rail Baltica</w:t>
      </w:r>
      <w:r w:rsidRPr="00D41442">
        <w:rPr>
          <w:rFonts w:ascii="Montserrat" w:hAnsi="Montserrat"/>
        </w:rPr>
        <w:t xml:space="preserve"> to ensure smooth operation and timely completion of the works required for both projects.</w:t>
      </w:r>
    </w:p>
    <w:p w14:paraId="4A6C9F14" w14:textId="38CFEEFC" w:rsidR="00B06C91" w:rsidRPr="00DC37D0" w:rsidRDefault="00B06C91" w:rsidP="00D41442">
      <w:pPr>
        <w:jc w:val="both"/>
        <w:rPr>
          <w:rFonts w:ascii="Montserrat" w:hAnsi="Montserrat"/>
          <w:b/>
          <w:bCs/>
          <w:sz w:val="24"/>
          <w:szCs w:val="24"/>
        </w:rPr>
      </w:pPr>
      <w:r w:rsidRPr="00DC37D0">
        <w:rPr>
          <w:rFonts w:ascii="Montserrat" w:hAnsi="Montserrat"/>
          <w:b/>
          <w:bCs/>
          <w:sz w:val="24"/>
          <w:szCs w:val="24"/>
        </w:rPr>
        <w:t xml:space="preserve">Technical </w:t>
      </w:r>
      <w:r w:rsidR="00237385" w:rsidRPr="00DC37D0">
        <w:rPr>
          <w:rFonts w:ascii="Montserrat" w:hAnsi="Montserrat"/>
          <w:b/>
          <w:bCs/>
          <w:sz w:val="24"/>
          <w:szCs w:val="24"/>
        </w:rPr>
        <w:t>S</w:t>
      </w:r>
      <w:r w:rsidRPr="00DC37D0">
        <w:rPr>
          <w:rFonts w:ascii="Montserrat" w:hAnsi="Montserrat"/>
          <w:b/>
          <w:bCs/>
          <w:sz w:val="24"/>
          <w:szCs w:val="24"/>
        </w:rPr>
        <w:t>olutions</w:t>
      </w:r>
    </w:p>
    <w:p w14:paraId="4F48AA2A" w14:textId="61E1CEFA" w:rsidR="00A612D3" w:rsidRPr="00D41442" w:rsidRDefault="00A612D3" w:rsidP="00D41442">
      <w:pPr>
        <w:jc w:val="both"/>
        <w:rPr>
          <w:rFonts w:ascii="Montserrat" w:hAnsi="Montserrat"/>
        </w:rPr>
      </w:pPr>
      <w:r w:rsidRPr="00D41442">
        <w:rPr>
          <w:rFonts w:ascii="Montserrat" w:hAnsi="Montserrat"/>
        </w:rPr>
        <w:t>It is expected that the technical requirements of the procurement will mainly be result-oriented. Reasonable, efficient, and competitive innovation will be appreciated. However, please note that the use or introduction of new materials, products, standards, and/or technologies will have to be harmonized by the private partner in accordance with the procedures outlined in national laws and regulations.</w:t>
      </w:r>
    </w:p>
    <w:p w14:paraId="49BDA3CF" w14:textId="2FDE6D79" w:rsidR="00674D4A" w:rsidRPr="00DC37D0" w:rsidRDefault="00674D4A" w:rsidP="00D41442">
      <w:pPr>
        <w:jc w:val="both"/>
        <w:rPr>
          <w:rFonts w:ascii="Montserrat" w:hAnsi="Montserrat"/>
          <w:b/>
          <w:bCs/>
          <w:sz w:val="24"/>
          <w:szCs w:val="24"/>
        </w:rPr>
      </w:pPr>
      <w:r w:rsidRPr="00DC37D0">
        <w:rPr>
          <w:rFonts w:ascii="Montserrat" w:hAnsi="Montserrat"/>
          <w:b/>
          <w:bCs/>
          <w:sz w:val="24"/>
          <w:szCs w:val="24"/>
        </w:rPr>
        <w:t xml:space="preserve">PPP </w:t>
      </w:r>
      <w:r w:rsidR="00237385" w:rsidRPr="00DC37D0">
        <w:rPr>
          <w:rFonts w:ascii="Montserrat" w:hAnsi="Montserrat"/>
          <w:b/>
          <w:bCs/>
          <w:sz w:val="24"/>
          <w:szCs w:val="24"/>
        </w:rPr>
        <w:t>E</w:t>
      </w:r>
      <w:r w:rsidRPr="00DC37D0">
        <w:rPr>
          <w:rFonts w:ascii="Montserrat" w:hAnsi="Montserrat"/>
          <w:b/>
          <w:bCs/>
          <w:sz w:val="24"/>
          <w:szCs w:val="24"/>
        </w:rPr>
        <w:t>xperience</w:t>
      </w:r>
    </w:p>
    <w:p w14:paraId="193471D3" w14:textId="39B6C8AD" w:rsidR="00B5110A" w:rsidRPr="00D41442" w:rsidRDefault="00B5110A" w:rsidP="00D41442">
      <w:pPr>
        <w:jc w:val="both"/>
        <w:rPr>
          <w:rFonts w:ascii="Montserrat" w:hAnsi="Montserrat"/>
        </w:rPr>
      </w:pPr>
      <w:r w:rsidRPr="00D41442">
        <w:rPr>
          <w:rFonts w:ascii="Montserrat" w:hAnsi="Montserrat"/>
        </w:rPr>
        <w:t>Candidates will be required to demonstrate their experience with two availability payment-based PPP projects, at least one of which must be implemented in the transport infrastructure sector. Previous experience must include DBFM or DBFO PPP projects, with the financial close dating back up to 10 years.</w:t>
      </w:r>
    </w:p>
    <w:p w14:paraId="5ABA576E" w14:textId="77777777" w:rsidR="00956CF2" w:rsidRDefault="00956CF2" w:rsidP="00D41442">
      <w:pPr>
        <w:jc w:val="both"/>
        <w:rPr>
          <w:rFonts w:ascii="Montserrat" w:hAnsi="Montserrat"/>
          <w:b/>
          <w:bCs/>
          <w:sz w:val="24"/>
          <w:szCs w:val="24"/>
        </w:rPr>
      </w:pPr>
    </w:p>
    <w:p w14:paraId="07F1EF07" w14:textId="77777777" w:rsidR="00956CF2" w:rsidRDefault="00956CF2" w:rsidP="00D41442">
      <w:pPr>
        <w:jc w:val="both"/>
        <w:rPr>
          <w:rFonts w:ascii="Montserrat" w:hAnsi="Montserrat"/>
          <w:b/>
          <w:bCs/>
          <w:sz w:val="24"/>
          <w:szCs w:val="24"/>
        </w:rPr>
      </w:pPr>
    </w:p>
    <w:p w14:paraId="2384090B" w14:textId="77777777" w:rsidR="00956CF2" w:rsidRDefault="00956CF2" w:rsidP="00D41442">
      <w:pPr>
        <w:jc w:val="both"/>
        <w:rPr>
          <w:rFonts w:ascii="Montserrat" w:hAnsi="Montserrat"/>
          <w:b/>
          <w:bCs/>
          <w:sz w:val="24"/>
          <w:szCs w:val="24"/>
        </w:rPr>
      </w:pPr>
    </w:p>
    <w:p w14:paraId="3F4ABF1D" w14:textId="676B896D" w:rsidR="00FA30F7" w:rsidRPr="00DC37D0" w:rsidRDefault="00FA30F7" w:rsidP="00D41442">
      <w:pPr>
        <w:jc w:val="both"/>
        <w:rPr>
          <w:rFonts w:ascii="Montserrat" w:hAnsi="Montserrat"/>
          <w:sz w:val="24"/>
          <w:szCs w:val="24"/>
        </w:rPr>
      </w:pPr>
      <w:r w:rsidRPr="00DC37D0">
        <w:rPr>
          <w:rFonts w:ascii="Montserrat" w:hAnsi="Montserrat"/>
          <w:b/>
          <w:bCs/>
          <w:sz w:val="24"/>
          <w:szCs w:val="24"/>
        </w:rPr>
        <w:t xml:space="preserve">Project </w:t>
      </w:r>
      <w:r w:rsidR="00527704" w:rsidRPr="00DC37D0">
        <w:rPr>
          <w:rFonts w:ascii="Montserrat" w:hAnsi="Montserrat"/>
          <w:b/>
          <w:bCs/>
          <w:sz w:val="24"/>
          <w:szCs w:val="24"/>
        </w:rPr>
        <w:t>F</w:t>
      </w:r>
      <w:r w:rsidRPr="00DC37D0">
        <w:rPr>
          <w:rFonts w:ascii="Montserrat" w:hAnsi="Montserrat"/>
          <w:b/>
          <w:bCs/>
          <w:sz w:val="24"/>
          <w:szCs w:val="24"/>
        </w:rPr>
        <w:t xml:space="preserve">inance </w:t>
      </w:r>
      <w:r w:rsidR="00527704" w:rsidRPr="00DC37D0">
        <w:rPr>
          <w:rFonts w:ascii="Montserrat" w:hAnsi="Montserrat"/>
          <w:b/>
          <w:bCs/>
          <w:sz w:val="24"/>
          <w:szCs w:val="24"/>
        </w:rPr>
        <w:t>E</w:t>
      </w:r>
      <w:r w:rsidRPr="00DC37D0">
        <w:rPr>
          <w:rFonts w:ascii="Montserrat" w:hAnsi="Montserrat"/>
          <w:b/>
          <w:bCs/>
          <w:sz w:val="24"/>
          <w:szCs w:val="24"/>
        </w:rPr>
        <w:t>xperience</w:t>
      </w:r>
    </w:p>
    <w:p w14:paraId="2C23259F" w14:textId="33EAE9F4" w:rsidR="00DC37D0" w:rsidRPr="00956CF2" w:rsidRDefault="00292D9D" w:rsidP="00D41442">
      <w:pPr>
        <w:jc w:val="both"/>
        <w:rPr>
          <w:rFonts w:ascii="Montserrat" w:hAnsi="Montserrat"/>
        </w:rPr>
      </w:pPr>
      <w:r w:rsidRPr="00D41442">
        <w:rPr>
          <w:rFonts w:ascii="Montserrat" w:hAnsi="Montserrat"/>
        </w:rPr>
        <w:lastRenderedPageBreak/>
        <w:t>Candidates will also need to demonstrate their expertise in attracting project financing from international financial institutions, investment funds, or commercial banks. It is expected that a certain threshold for the investment amount will be set for reference projects dating back 5 to 10 years.</w:t>
      </w:r>
    </w:p>
    <w:p w14:paraId="1871F826" w14:textId="0B753FF4" w:rsidR="009D7830" w:rsidRPr="00DC37D0" w:rsidRDefault="00674D4A" w:rsidP="00D41442">
      <w:pPr>
        <w:jc w:val="both"/>
        <w:rPr>
          <w:rFonts w:ascii="Montserrat" w:hAnsi="Montserrat"/>
          <w:b/>
          <w:bCs/>
          <w:sz w:val="24"/>
          <w:szCs w:val="24"/>
        </w:rPr>
      </w:pPr>
      <w:r w:rsidRPr="00DC37D0">
        <w:rPr>
          <w:rFonts w:ascii="Montserrat" w:hAnsi="Montserrat"/>
          <w:b/>
          <w:bCs/>
          <w:sz w:val="24"/>
          <w:szCs w:val="24"/>
        </w:rPr>
        <w:t xml:space="preserve">Future </w:t>
      </w:r>
      <w:r w:rsidR="002A7FD1" w:rsidRPr="00DC37D0">
        <w:rPr>
          <w:rFonts w:ascii="Montserrat" w:hAnsi="Montserrat"/>
          <w:b/>
          <w:bCs/>
          <w:sz w:val="24"/>
          <w:szCs w:val="24"/>
        </w:rPr>
        <w:t>Road PPP P</w:t>
      </w:r>
      <w:r w:rsidRPr="00DC37D0">
        <w:rPr>
          <w:rFonts w:ascii="Montserrat" w:hAnsi="Montserrat"/>
          <w:b/>
          <w:bCs/>
          <w:sz w:val="24"/>
          <w:szCs w:val="24"/>
        </w:rPr>
        <w:t>ipeline</w:t>
      </w:r>
    </w:p>
    <w:p w14:paraId="284F06C0" w14:textId="1C97D34A" w:rsidR="00562094" w:rsidRPr="00D41442" w:rsidRDefault="000E3A4F" w:rsidP="00D41442">
      <w:pPr>
        <w:jc w:val="both"/>
        <w:rPr>
          <w:rFonts w:ascii="Montserrat" w:hAnsi="Montserrat" w:cs="Times New Roman"/>
          <w:lang w:val="en-GB"/>
        </w:rPr>
      </w:pPr>
      <w:r w:rsidRPr="00D41442">
        <w:rPr>
          <w:rFonts w:ascii="Montserrat" w:hAnsi="Montserrat"/>
        </w:rPr>
        <w:t>The Ministry of Transport has identified the following road infrastructure projects as the next potential PPP initiatives: the Iecava Bypass, with an estimated capital investment of approximately EUR 326 million, and the Riga Bypass, with an estimated capital investment of approximately EUR 227 million.</w:t>
      </w:r>
    </w:p>
    <w:p w14:paraId="3B42AAA9" w14:textId="6DD70120" w:rsidR="009D7830" w:rsidRPr="00DC37D0" w:rsidRDefault="009D7830" w:rsidP="00D41442">
      <w:pPr>
        <w:jc w:val="both"/>
        <w:rPr>
          <w:rFonts w:ascii="Montserrat" w:hAnsi="Montserrat"/>
          <w:b/>
          <w:bCs/>
          <w:sz w:val="24"/>
          <w:szCs w:val="24"/>
          <w:lang w:val="lv-LV"/>
        </w:rPr>
      </w:pPr>
      <w:r w:rsidRPr="00DC37D0">
        <w:rPr>
          <w:rFonts w:ascii="Montserrat" w:hAnsi="Montserrat"/>
          <w:b/>
          <w:bCs/>
          <w:sz w:val="24"/>
          <w:szCs w:val="24"/>
        </w:rPr>
        <w:t xml:space="preserve">Committed </w:t>
      </w:r>
      <w:r w:rsidR="00162A66" w:rsidRPr="00DC37D0">
        <w:rPr>
          <w:rFonts w:ascii="Montserrat" w:hAnsi="Montserrat"/>
          <w:b/>
          <w:bCs/>
          <w:sz w:val="24"/>
          <w:szCs w:val="24"/>
        </w:rPr>
        <w:t>F</w:t>
      </w:r>
      <w:r w:rsidRPr="00DC37D0">
        <w:rPr>
          <w:rFonts w:ascii="Montserrat" w:hAnsi="Montserrat"/>
          <w:b/>
          <w:bCs/>
          <w:sz w:val="24"/>
          <w:szCs w:val="24"/>
        </w:rPr>
        <w:t>inancing</w:t>
      </w:r>
      <w:r w:rsidR="009322D0" w:rsidRPr="00DC37D0">
        <w:rPr>
          <w:rFonts w:ascii="Montserrat" w:hAnsi="Montserrat"/>
          <w:sz w:val="24"/>
          <w:szCs w:val="24"/>
        </w:rPr>
        <w:t xml:space="preserve"> </w:t>
      </w:r>
    </w:p>
    <w:p w14:paraId="7B98FD4B" w14:textId="20FA340D" w:rsidR="00492082" w:rsidRPr="00D41442" w:rsidRDefault="00492082" w:rsidP="00D41442">
      <w:pPr>
        <w:jc w:val="both"/>
        <w:rPr>
          <w:rFonts w:ascii="Montserrat" w:hAnsi="Montserrat"/>
        </w:rPr>
      </w:pPr>
      <w:r w:rsidRPr="00D41442">
        <w:rPr>
          <w:rFonts w:ascii="Montserrat" w:hAnsi="Montserrat"/>
        </w:rPr>
        <w:t>It is the responsibility of the private partner to attract financing and to provide evidence during the procurement process that such financing will be secured.</w:t>
      </w:r>
    </w:p>
    <w:sectPr w:rsidR="00492082" w:rsidRPr="00D41442" w:rsidSect="00956CF2">
      <w:pgSz w:w="12240" w:h="15840"/>
      <w:pgMar w:top="141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600E9"/>
    <w:multiLevelType w:val="multilevel"/>
    <w:tmpl w:val="373C761A"/>
    <w:lvl w:ilvl="0">
      <w:start w:val="1"/>
      <w:numFmt w:val="decimal"/>
      <w:lvlText w:val="%1."/>
      <w:lvlJc w:val="left"/>
      <w:pPr>
        <w:ind w:left="420" w:hanging="360"/>
      </w:pPr>
      <w:rPr>
        <w:rFonts w:hint="default"/>
        <w:b/>
        <w:bCs/>
        <w:color w:val="FF0000"/>
      </w:rPr>
    </w:lvl>
    <w:lvl w:ilvl="1">
      <w:start w:val="2"/>
      <w:numFmt w:val="decimal"/>
      <w:isLgl/>
      <w:lvlText w:val="%1.%2."/>
      <w:lvlJc w:val="left"/>
      <w:pPr>
        <w:ind w:left="516" w:hanging="456"/>
      </w:pPr>
      <w:rPr>
        <w:rFonts w:hint="default"/>
        <w:b/>
        <w:bCs/>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140" w:hanging="108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num w:numId="1" w16cid:durableId="152339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91"/>
    <w:rsid w:val="00032931"/>
    <w:rsid w:val="0003350B"/>
    <w:rsid w:val="000809AD"/>
    <w:rsid w:val="00090489"/>
    <w:rsid w:val="000B3850"/>
    <w:rsid w:val="000C331B"/>
    <w:rsid w:val="000E3A4F"/>
    <w:rsid w:val="000F625E"/>
    <w:rsid w:val="000F697D"/>
    <w:rsid w:val="00162A66"/>
    <w:rsid w:val="00167DB1"/>
    <w:rsid w:val="00193F37"/>
    <w:rsid w:val="00237385"/>
    <w:rsid w:val="00240BFF"/>
    <w:rsid w:val="00261553"/>
    <w:rsid w:val="0028437A"/>
    <w:rsid w:val="00292D9D"/>
    <w:rsid w:val="002A7FD1"/>
    <w:rsid w:val="002E058F"/>
    <w:rsid w:val="00343AA4"/>
    <w:rsid w:val="00353851"/>
    <w:rsid w:val="00370D1A"/>
    <w:rsid w:val="00374076"/>
    <w:rsid w:val="003E753E"/>
    <w:rsid w:val="00403AD6"/>
    <w:rsid w:val="00492082"/>
    <w:rsid w:val="004968B2"/>
    <w:rsid w:val="004C1D61"/>
    <w:rsid w:val="004D6DC0"/>
    <w:rsid w:val="00507AE9"/>
    <w:rsid w:val="0051042F"/>
    <w:rsid w:val="00527704"/>
    <w:rsid w:val="00562094"/>
    <w:rsid w:val="005770C3"/>
    <w:rsid w:val="00594F49"/>
    <w:rsid w:val="005C4742"/>
    <w:rsid w:val="00605C7A"/>
    <w:rsid w:val="00646A9A"/>
    <w:rsid w:val="00674D4A"/>
    <w:rsid w:val="0067650F"/>
    <w:rsid w:val="006B6C28"/>
    <w:rsid w:val="006B75F6"/>
    <w:rsid w:val="0071494C"/>
    <w:rsid w:val="00726F34"/>
    <w:rsid w:val="00772829"/>
    <w:rsid w:val="007A365B"/>
    <w:rsid w:val="007D2CD1"/>
    <w:rsid w:val="007D6879"/>
    <w:rsid w:val="00850112"/>
    <w:rsid w:val="00885972"/>
    <w:rsid w:val="008E4BFD"/>
    <w:rsid w:val="009322D0"/>
    <w:rsid w:val="00954B4C"/>
    <w:rsid w:val="00956CF2"/>
    <w:rsid w:val="0097770D"/>
    <w:rsid w:val="009D7830"/>
    <w:rsid w:val="00A25B52"/>
    <w:rsid w:val="00A41CE4"/>
    <w:rsid w:val="00A47F52"/>
    <w:rsid w:val="00A612D3"/>
    <w:rsid w:val="00A665C4"/>
    <w:rsid w:val="00A67474"/>
    <w:rsid w:val="00A91669"/>
    <w:rsid w:val="00B06C91"/>
    <w:rsid w:val="00B129ED"/>
    <w:rsid w:val="00B5110A"/>
    <w:rsid w:val="00B512F5"/>
    <w:rsid w:val="00B556FA"/>
    <w:rsid w:val="00B64934"/>
    <w:rsid w:val="00BB5DE7"/>
    <w:rsid w:val="00BE5354"/>
    <w:rsid w:val="00C22529"/>
    <w:rsid w:val="00CC5924"/>
    <w:rsid w:val="00CF6DEC"/>
    <w:rsid w:val="00D25529"/>
    <w:rsid w:val="00D41442"/>
    <w:rsid w:val="00D948B1"/>
    <w:rsid w:val="00DB1C89"/>
    <w:rsid w:val="00DC37D0"/>
    <w:rsid w:val="00DF30DF"/>
    <w:rsid w:val="00E34AF8"/>
    <w:rsid w:val="00E671FA"/>
    <w:rsid w:val="00EB39D8"/>
    <w:rsid w:val="00EE5606"/>
    <w:rsid w:val="00F26AB5"/>
    <w:rsid w:val="00F37C03"/>
    <w:rsid w:val="00F6138A"/>
    <w:rsid w:val="00F71E63"/>
    <w:rsid w:val="00F8364C"/>
    <w:rsid w:val="00F9728F"/>
    <w:rsid w:val="00FA30F7"/>
    <w:rsid w:val="00FF3375"/>
    <w:rsid w:val="07011AF4"/>
    <w:rsid w:val="14CD19ED"/>
    <w:rsid w:val="18E9DECF"/>
    <w:rsid w:val="1A893990"/>
    <w:rsid w:val="1B4817BB"/>
    <w:rsid w:val="1B9BA057"/>
    <w:rsid w:val="3F24B0C3"/>
    <w:rsid w:val="53565B68"/>
    <w:rsid w:val="5366D5FB"/>
    <w:rsid w:val="60D78980"/>
    <w:rsid w:val="68A6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2F526"/>
  <w15:chartTrackingRefBased/>
  <w15:docId w15:val="{29F3ED7C-D16A-47C4-9148-66919800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06C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06C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06C9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06C9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06C9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06C9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06C9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06C9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06C9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06C9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06C9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06C9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06C9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06C9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06C9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06C9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06C9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06C9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06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06C9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06C9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06C9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06C9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06C91"/>
    <w:rPr>
      <w:i/>
      <w:iCs/>
      <w:color w:val="404040" w:themeColor="text1" w:themeTint="BF"/>
    </w:rPr>
  </w:style>
  <w:style w:type="paragraph" w:styleId="Sarakstarindkopa">
    <w:name w:val="List Paragraph"/>
    <w:basedOn w:val="Parasts"/>
    <w:uiPriority w:val="34"/>
    <w:qFormat/>
    <w:rsid w:val="00B06C91"/>
    <w:pPr>
      <w:ind w:left="720"/>
      <w:contextualSpacing/>
    </w:pPr>
  </w:style>
  <w:style w:type="character" w:styleId="Intensvsizclums">
    <w:name w:val="Intense Emphasis"/>
    <w:basedOn w:val="Noklusjumarindkopasfonts"/>
    <w:uiPriority w:val="21"/>
    <w:qFormat/>
    <w:rsid w:val="00B06C91"/>
    <w:rPr>
      <w:i/>
      <w:iCs/>
      <w:color w:val="2F5496" w:themeColor="accent1" w:themeShade="BF"/>
    </w:rPr>
  </w:style>
  <w:style w:type="paragraph" w:styleId="Intensvscitts">
    <w:name w:val="Intense Quote"/>
    <w:basedOn w:val="Parasts"/>
    <w:next w:val="Parasts"/>
    <w:link w:val="IntensvscittsRakstz"/>
    <w:uiPriority w:val="30"/>
    <w:qFormat/>
    <w:rsid w:val="00B06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06C91"/>
    <w:rPr>
      <w:i/>
      <w:iCs/>
      <w:color w:val="2F5496" w:themeColor="accent1" w:themeShade="BF"/>
    </w:rPr>
  </w:style>
  <w:style w:type="character" w:styleId="Intensvaatsauce">
    <w:name w:val="Intense Reference"/>
    <w:basedOn w:val="Noklusjumarindkopasfonts"/>
    <w:uiPriority w:val="32"/>
    <w:qFormat/>
    <w:rsid w:val="00B06C91"/>
    <w:rPr>
      <w:b/>
      <w:bCs/>
      <w:smallCaps/>
      <w:color w:val="2F5496" w:themeColor="accent1" w:themeShade="BF"/>
      <w:spacing w:val="5"/>
    </w:rPr>
  </w:style>
  <w:style w:type="paragraph" w:styleId="Prskatjums">
    <w:name w:val="Revision"/>
    <w:hidden/>
    <w:uiPriority w:val="99"/>
    <w:semiHidden/>
    <w:rsid w:val="00032931"/>
    <w:pPr>
      <w:spacing w:after="0" w:line="240" w:lineRule="auto"/>
    </w:pPr>
  </w:style>
  <w:style w:type="character" w:styleId="Komentraatsauce">
    <w:name w:val="annotation reference"/>
    <w:basedOn w:val="Noklusjumarindkopasfonts"/>
    <w:uiPriority w:val="99"/>
    <w:semiHidden/>
    <w:unhideWhenUsed/>
    <w:rsid w:val="003E753E"/>
    <w:rPr>
      <w:sz w:val="16"/>
      <w:szCs w:val="16"/>
    </w:rPr>
  </w:style>
  <w:style w:type="paragraph" w:styleId="Komentrateksts">
    <w:name w:val="annotation text"/>
    <w:basedOn w:val="Parasts"/>
    <w:link w:val="KomentratekstsRakstz"/>
    <w:uiPriority w:val="99"/>
    <w:unhideWhenUsed/>
    <w:rsid w:val="003E753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E753E"/>
    <w:rPr>
      <w:sz w:val="20"/>
      <w:szCs w:val="20"/>
    </w:rPr>
  </w:style>
  <w:style w:type="paragraph" w:styleId="Komentratma">
    <w:name w:val="annotation subject"/>
    <w:basedOn w:val="Komentrateksts"/>
    <w:next w:val="Komentrateksts"/>
    <w:link w:val="KomentratmaRakstz"/>
    <w:uiPriority w:val="99"/>
    <w:semiHidden/>
    <w:unhideWhenUsed/>
    <w:rsid w:val="003E753E"/>
    <w:rPr>
      <w:b/>
      <w:bCs/>
    </w:rPr>
  </w:style>
  <w:style w:type="character" w:customStyle="1" w:styleId="KomentratmaRakstz">
    <w:name w:val="Komentāra tēma Rakstz."/>
    <w:basedOn w:val="KomentratekstsRakstz"/>
    <w:link w:val="Komentratma"/>
    <w:uiPriority w:val="99"/>
    <w:semiHidden/>
    <w:rsid w:val="003E753E"/>
    <w:rPr>
      <w:b/>
      <w:bCs/>
      <w:sz w:val="20"/>
      <w:szCs w:val="20"/>
    </w:rPr>
  </w:style>
  <w:style w:type="character" w:styleId="Hipersaite">
    <w:name w:val="Hyperlink"/>
    <w:basedOn w:val="Noklusjumarindkopasfonts"/>
    <w:uiPriority w:val="99"/>
    <w:unhideWhenUsed/>
    <w:rsid w:val="00A47F52"/>
    <w:rPr>
      <w:color w:val="0563C1" w:themeColor="hyperlink"/>
      <w:u w:val="single"/>
    </w:rPr>
  </w:style>
  <w:style w:type="character" w:styleId="Neatrisintapieminana">
    <w:name w:val="Unresolved Mention"/>
    <w:basedOn w:val="Noklusjumarindkopasfonts"/>
    <w:uiPriority w:val="99"/>
    <w:semiHidden/>
    <w:unhideWhenUsed/>
    <w:rsid w:val="00A4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celi.lv/wp-content/uploads/2025/08/Laika_grafiks.p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68BE75FD1FA0C47BFDE6C3658FD269E" ma:contentTypeVersion="10" ma:contentTypeDescription="Izveidot jaunu dokumentu." ma:contentTypeScope="" ma:versionID="299c425e7f194f5d0df7c87fba037a98">
  <xsd:schema xmlns:xsd="http://www.w3.org/2001/XMLSchema" xmlns:xs="http://www.w3.org/2001/XMLSchema" xmlns:p="http://schemas.microsoft.com/office/2006/metadata/properties" xmlns:ns2="fa898093-9671-48a9-a7cf-2a518e348d42" targetNamespace="http://schemas.microsoft.com/office/2006/metadata/properties" ma:root="true" ma:fieldsID="6eafd368ca74c410672cd07bb7ec88ae" ns2:_="">
    <xsd:import namespace="fa898093-9671-48a9-a7cf-2a518e348d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98093-9671-48a9-a7cf-2a518e348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d329cd14-990e-4319-a597-f18583bfa58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898093-9671-48a9-a7cf-2a518e348d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FBE64-8810-424C-92EE-D3DC724D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98093-9671-48a9-a7cf-2a518e348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C3CDB-82F1-4D79-AB82-E48F91696D3B}">
  <ds:schemaRefs>
    <ds:schemaRef ds:uri="http://schemas.microsoft.com/office/2006/metadata/properties"/>
    <ds:schemaRef ds:uri="http://schemas.microsoft.com/office/infopath/2007/PartnerControls"/>
    <ds:schemaRef ds:uri="fa898093-9671-48a9-a7cf-2a518e348d42"/>
  </ds:schemaRefs>
</ds:datastoreItem>
</file>

<file path=customXml/itemProps3.xml><?xml version="1.0" encoding="utf-8"?>
<ds:datastoreItem xmlns:ds="http://schemas.openxmlformats.org/officeDocument/2006/customXml" ds:itemID="{EB58326D-8405-4DAA-AA55-AD2DD679B656}">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62</TotalTime>
  <Pages>2</Pages>
  <Words>1842</Words>
  <Characters>1050</Characters>
  <Application>Microsoft Office Word</Application>
  <DocSecurity>0</DocSecurity>
  <Lines>8</Lines>
  <Paragraphs>5</Paragraphs>
  <ScaleCrop>false</ScaleCrop>
  <Company>Deloitte CE</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Liepins, Andris</dc:creator>
  <cp:keywords/>
  <dc:description/>
  <cp:lastModifiedBy>Elīna Pankovska</cp:lastModifiedBy>
  <cp:revision>40</cp:revision>
  <cp:lastPrinted>2025-08-07T11:38:00Z</cp:lastPrinted>
  <dcterms:created xsi:type="dcterms:W3CDTF">2025-08-11T11:51:00Z</dcterms:created>
  <dcterms:modified xsi:type="dcterms:W3CDTF">2025-08-14T07:15:00Z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7ee6049c-2161-4bdb-8d44-ee0b270b0487</vt:lpwstr>
  </property>
  <property fmtid="{D5CDD505-2E9C-101B-9397-08002B2CF9AE}" pid="3" name="ContentTypeId">
    <vt:lpwstr>0x010100868BE75FD1FA0C47BFDE6C3658FD269E</vt:lpwstr>
  </property>
  <property fmtid="{D5CDD505-2E9C-101B-9397-08002B2CF9AE}" pid="4" name="MediaServiceImageTags">
    <vt:lpwstr/>
  </property>
</Properties>
</file>