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F2E7" w14:textId="77777777" w:rsidR="00423DCE" w:rsidRPr="00187CB9" w:rsidRDefault="00423DCE" w:rsidP="00423DCE">
      <w:pPr>
        <w:spacing w:after="160" w:line="259" w:lineRule="auto"/>
        <w:ind w:left="927" w:firstLine="0"/>
        <w:contextualSpacing/>
        <w:rPr>
          <w:rFonts w:ascii="Arial" w:eastAsia="Calibri" w:hAnsi="Arial" w:cs="Arial"/>
          <w:szCs w:val="24"/>
        </w:rPr>
      </w:pPr>
      <w:bookmarkStart w:id="0" w:name="_Hlk27492959"/>
    </w:p>
    <w:p w14:paraId="58F14343" w14:textId="530D231B" w:rsidR="00423DCE" w:rsidRPr="00187CB9" w:rsidRDefault="007D1E1B" w:rsidP="00187CB9">
      <w:pPr>
        <w:spacing w:after="160" w:line="259" w:lineRule="auto"/>
        <w:ind w:firstLine="0"/>
        <w:contextualSpacing/>
        <w:jc w:val="center"/>
        <w:rPr>
          <w:rFonts w:ascii="Arial" w:eastAsia="Calibri" w:hAnsi="Arial" w:cs="Arial"/>
          <w:b/>
          <w:bCs/>
          <w:sz w:val="28"/>
          <w:szCs w:val="28"/>
        </w:rPr>
      </w:pPr>
      <w:r w:rsidRPr="00187CB9">
        <w:rPr>
          <w:rFonts w:ascii="Arial" w:eastAsia="Calibri" w:hAnsi="Arial" w:cs="Arial"/>
          <w:b/>
          <w:bCs/>
          <w:sz w:val="28"/>
          <w:szCs w:val="28"/>
        </w:rPr>
        <w:t>Būvdarbu l</w:t>
      </w:r>
      <w:r w:rsidR="00011B84" w:rsidRPr="00187CB9">
        <w:rPr>
          <w:rFonts w:ascii="Arial" w:eastAsia="Calibri" w:hAnsi="Arial" w:cs="Arial"/>
          <w:b/>
          <w:bCs/>
          <w:sz w:val="28"/>
          <w:szCs w:val="28"/>
        </w:rPr>
        <w:t>īguma vienības cenu pārrēķina metode</w:t>
      </w:r>
    </w:p>
    <w:p w14:paraId="11AAF4EF" w14:textId="007D9043" w:rsidR="00011B84" w:rsidRPr="00187CB9" w:rsidRDefault="00011B84" w:rsidP="00423DCE">
      <w:pPr>
        <w:spacing w:after="160" w:line="259" w:lineRule="auto"/>
        <w:ind w:left="927" w:firstLine="0"/>
        <w:contextualSpacing/>
        <w:rPr>
          <w:rFonts w:ascii="Arial" w:eastAsia="Calibri" w:hAnsi="Arial" w:cs="Arial"/>
          <w:b/>
          <w:bCs/>
          <w:szCs w:val="24"/>
        </w:rPr>
      </w:pPr>
    </w:p>
    <w:p w14:paraId="3AAE35C9" w14:textId="668325E6" w:rsidR="00423DCE" w:rsidRPr="00187CB9" w:rsidRDefault="00423DCE" w:rsidP="00187CB9">
      <w:pPr>
        <w:spacing w:after="160" w:line="259" w:lineRule="auto"/>
        <w:ind w:firstLine="0"/>
        <w:contextualSpacing/>
        <w:rPr>
          <w:rFonts w:ascii="Arial" w:eastAsia="Calibri" w:hAnsi="Arial" w:cs="Arial"/>
          <w:b/>
          <w:bCs/>
          <w:szCs w:val="24"/>
        </w:rPr>
      </w:pPr>
      <w:r w:rsidRPr="00187CB9">
        <w:rPr>
          <w:rFonts w:ascii="Arial" w:eastAsia="Calibri" w:hAnsi="Arial" w:cs="Arial"/>
          <w:b/>
          <w:bCs/>
          <w:szCs w:val="24"/>
        </w:rPr>
        <w:t>Bitumena cenas pieauguma aprēķina metodika</w:t>
      </w:r>
    </w:p>
    <w:p w14:paraId="48522EB2" w14:textId="77777777" w:rsidR="00423DCE" w:rsidRPr="00187CB9" w:rsidRDefault="00423DCE" w:rsidP="00423DCE">
      <w:pPr>
        <w:spacing w:after="160" w:line="259" w:lineRule="auto"/>
        <w:ind w:left="927" w:firstLine="0"/>
        <w:contextualSpacing/>
        <w:rPr>
          <w:rFonts w:ascii="Arial" w:eastAsia="Calibri" w:hAnsi="Arial" w:cs="Arial"/>
          <w:b/>
          <w:bCs/>
          <w:szCs w:val="24"/>
        </w:rPr>
      </w:pPr>
    </w:p>
    <w:p w14:paraId="78CABD5E" w14:textId="04D501EF" w:rsidR="00AA230D" w:rsidRDefault="00AA230D" w:rsidP="00187CB9">
      <w:pPr>
        <w:spacing w:after="160" w:line="259" w:lineRule="auto"/>
        <w:ind w:firstLine="0"/>
        <w:contextualSpacing/>
        <w:rPr>
          <w:rFonts w:ascii="Arial" w:eastAsia="Calibri" w:hAnsi="Arial" w:cs="Arial"/>
          <w:szCs w:val="24"/>
          <w:u w:val="single"/>
        </w:rPr>
      </w:pPr>
      <w:r w:rsidRPr="00187CB9">
        <w:rPr>
          <w:rFonts w:ascii="Arial" w:eastAsia="Calibri" w:hAnsi="Arial" w:cs="Arial"/>
          <w:szCs w:val="24"/>
          <w:u w:val="single"/>
        </w:rPr>
        <w:t>Izvēlētie indeksi un to aprakst</w:t>
      </w:r>
      <w:r w:rsidR="00187CB9" w:rsidRPr="00187CB9">
        <w:rPr>
          <w:rFonts w:ascii="Arial" w:eastAsia="Calibri" w:hAnsi="Arial" w:cs="Arial"/>
          <w:szCs w:val="24"/>
          <w:u w:val="single"/>
        </w:rPr>
        <w:t>s</w:t>
      </w:r>
    </w:p>
    <w:p w14:paraId="7AB7E724" w14:textId="77777777" w:rsidR="00797925" w:rsidRPr="00187CB9" w:rsidRDefault="00797925" w:rsidP="00187CB9">
      <w:pPr>
        <w:spacing w:after="160" w:line="259" w:lineRule="auto"/>
        <w:ind w:firstLine="0"/>
        <w:contextualSpacing/>
        <w:rPr>
          <w:rFonts w:ascii="Arial" w:eastAsia="Calibri" w:hAnsi="Arial" w:cs="Arial"/>
          <w:szCs w:val="24"/>
          <w:u w:val="single"/>
        </w:rPr>
      </w:pPr>
    </w:p>
    <w:p w14:paraId="14CFAB33" w14:textId="0A386528" w:rsidR="00AA230D" w:rsidRPr="00187CB9" w:rsidRDefault="00AA230D" w:rsidP="00187CB9">
      <w:pPr>
        <w:spacing w:after="160" w:line="259" w:lineRule="auto"/>
        <w:ind w:firstLine="0"/>
        <w:contextualSpacing/>
        <w:rPr>
          <w:rFonts w:ascii="Arial" w:eastAsia="Calibri" w:hAnsi="Arial" w:cs="Arial"/>
          <w:szCs w:val="24"/>
        </w:rPr>
      </w:pPr>
      <w:r w:rsidRPr="00187CB9">
        <w:rPr>
          <w:rFonts w:ascii="Arial" w:eastAsia="Calibri" w:hAnsi="Arial" w:cs="Arial"/>
          <w:szCs w:val="24"/>
        </w:rPr>
        <w:t>Lai noteiktu piemērotāko indeksu, cenu indeksu analīzei tika veikta tirgus izpēte, lai atlasītu nepieciešamos indeksus un novērtētu šo indeksu korelāciju ar bitumena cenu dinamiku. Tika izvēlēti sekojoši indeksi – WTI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CL1:COM) un </w:t>
      </w:r>
      <w:proofErr w:type="spellStart"/>
      <w:r w:rsidRPr="00187CB9">
        <w:rPr>
          <w:rFonts w:ascii="Arial" w:eastAsia="Calibri" w:hAnsi="Arial" w:cs="Arial"/>
          <w:szCs w:val="24"/>
        </w:rPr>
        <w:t>Brent</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ticker</w:t>
      </w:r>
      <w:proofErr w:type="spellEnd"/>
      <w:r w:rsidRPr="00187CB9">
        <w:rPr>
          <w:rFonts w:ascii="Arial" w:eastAsia="Calibri" w:hAnsi="Arial" w:cs="Arial"/>
          <w:szCs w:val="24"/>
        </w:rPr>
        <w:t>: CO1:COM) jēlnaftas indeksi, Roterdamas mazuta (</w:t>
      </w:r>
      <w:proofErr w:type="spellStart"/>
      <w:r w:rsidRPr="00187CB9">
        <w:rPr>
          <w:rFonts w:ascii="Arial" w:eastAsia="Calibri" w:hAnsi="Arial" w:cs="Arial"/>
          <w:i/>
          <w:iCs/>
          <w:szCs w:val="24"/>
        </w:rPr>
        <w:t>angl</w:t>
      </w:r>
      <w:proofErr w:type="spellEnd"/>
      <w:r w:rsidRPr="00187CB9">
        <w:rPr>
          <w:rFonts w:ascii="Arial" w:eastAsia="Calibri" w:hAnsi="Arial" w:cs="Arial"/>
          <w:i/>
          <w:iCs/>
          <w:szCs w:val="24"/>
        </w:rPr>
        <w:t xml:space="preserve">. </w:t>
      </w:r>
      <w:proofErr w:type="spellStart"/>
      <w:r w:rsidRPr="00187CB9">
        <w:rPr>
          <w:rFonts w:ascii="Arial" w:eastAsia="Calibri" w:hAnsi="Arial" w:cs="Arial"/>
          <w:i/>
          <w:iCs/>
          <w:szCs w:val="24"/>
        </w:rPr>
        <w:t>Fuel</w:t>
      </w:r>
      <w:proofErr w:type="spellEnd"/>
      <w:r w:rsidRPr="00187CB9">
        <w:rPr>
          <w:rFonts w:ascii="Arial" w:eastAsia="Calibri" w:hAnsi="Arial" w:cs="Arial"/>
          <w:i/>
          <w:iCs/>
          <w:szCs w:val="24"/>
        </w:rPr>
        <w:t xml:space="preserve"> </w:t>
      </w:r>
      <w:proofErr w:type="spellStart"/>
      <w:r w:rsidRPr="00187CB9">
        <w:rPr>
          <w:rFonts w:ascii="Arial" w:eastAsia="Calibri" w:hAnsi="Arial" w:cs="Arial"/>
          <w:i/>
          <w:iCs/>
          <w:szCs w:val="24"/>
        </w:rPr>
        <w:t>oil</w:t>
      </w:r>
      <w:proofErr w:type="spellEnd"/>
      <w:r w:rsidRPr="00187CB9">
        <w:rPr>
          <w:rFonts w:ascii="Arial" w:eastAsia="Calibri" w:hAnsi="Arial" w:cs="Arial"/>
          <w:szCs w:val="24"/>
        </w:rPr>
        <w:t>) indekss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MBT1 </w:t>
      </w:r>
      <w:proofErr w:type="spellStart"/>
      <w:r w:rsidRPr="00187CB9">
        <w:rPr>
          <w:rFonts w:ascii="Arial" w:eastAsia="Calibri" w:hAnsi="Arial" w:cs="Arial"/>
          <w:szCs w:val="24"/>
        </w:rPr>
        <w:t>Comdty</w:t>
      </w:r>
      <w:proofErr w:type="spellEnd"/>
      <w:r w:rsidRPr="00187CB9">
        <w:rPr>
          <w:rFonts w:ascii="Arial" w:eastAsia="Calibri" w:hAnsi="Arial" w:cs="Arial"/>
          <w:szCs w:val="24"/>
        </w:rPr>
        <w:t xml:space="preserve"> - </w:t>
      </w:r>
      <w:proofErr w:type="spellStart"/>
      <w:r w:rsidRPr="00187CB9">
        <w:rPr>
          <w:rFonts w:ascii="Arial" w:eastAsia="Calibri" w:hAnsi="Arial" w:cs="Arial"/>
          <w:szCs w:val="24"/>
        </w:rPr>
        <w:t>European</w:t>
      </w:r>
      <w:proofErr w:type="spellEnd"/>
      <w:r w:rsidRPr="00187CB9">
        <w:rPr>
          <w:rFonts w:ascii="Arial" w:eastAsia="Calibri" w:hAnsi="Arial" w:cs="Arial"/>
          <w:szCs w:val="24"/>
        </w:rPr>
        <w:t xml:space="preserve"> 3.5% </w:t>
      </w:r>
      <w:proofErr w:type="spellStart"/>
      <w:r w:rsidRPr="00187CB9">
        <w:rPr>
          <w:rFonts w:ascii="Arial" w:eastAsia="Calibri" w:hAnsi="Arial" w:cs="Arial"/>
          <w:szCs w:val="24"/>
        </w:rPr>
        <w:t>Fuel</w:t>
      </w:r>
      <w:proofErr w:type="spellEnd"/>
      <w:r w:rsidRPr="00187CB9">
        <w:rPr>
          <w:rFonts w:ascii="Arial" w:eastAsia="Calibri" w:hAnsi="Arial" w:cs="Arial"/>
          <w:szCs w:val="24"/>
        </w:rPr>
        <w:t xml:space="preserve"> Oil </w:t>
      </w:r>
      <w:proofErr w:type="spellStart"/>
      <w:r w:rsidRPr="00187CB9">
        <w:rPr>
          <w:rFonts w:ascii="Arial" w:eastAsia="Calibri" w:hAnsi="Arial" w:cs="Arial"/>
          <w:szCs w:val="24"/>
        </w:rPr>
        <w:t>Barges</w:t>
      </w:r>
      <w:proofErr w:type="spellEnd"/>
      <w:r w:rsidRPr="00187CB9">
        <w:rPr>
          <w:rFonts w:ascii="Arial" w:eastAsia="Calibri" w:hAnsi="Arial" w:cs="Arial"/>
          <w:szCs w:val="24"/>
        </w:rPr>
        <w:t xml:space="preserve"> FOB </w:t>
      </w:r>
      <w:proofErr w:type="spellStart"/>
      <w:r w:rsidRPr="00187CB9">
        <w:rPr>
          <w:rFonts w:ascii="Arial" w:eastAsia="Calibri" w:hAnsi="Arial" w:cs="Arial"/>
          <w:szCs w:val="24"/>
        </w:rPr>
        <w:t>Rdam</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Platts</w:t>
      </w:r>
      <w:proofErr w:type="spellEnd"/>
      <w:r w:rsidRPr="00187CB9">
        <w:rPr>
          <w:rFonts w:ascii="Arial" w:eastAsia="Calibri" w:hAnsi="Arial" w:cs="Arial"/>
          <w:szCs w:val="24"/>
        </w:rPr>
        <w:t>) un Šanhajas biržā tirgotais bitumena indekss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BIT1 COMB </w:t>
      </w:r>
      <w:proofErr w:type="spellStart"/>
      <w:r w:rsidRPr="00187CB9">
        <w:rPr>
          <w:rFonts w:ascii="Arial" w:eastAsia="Calibri" w:hAnsi="Arial" w:cs="Arial"/>
          <w:szCs w:val="24"/>
        </w:rPr>
        <w:t>comdty</w:t>
      </w:r>
      <w:proofErr w:type="spellEnd"/>
      <w:r w:rsidRPr="00187CB9">
        <w:rPr>
          <w:rFonts w:ascii="Arial" w:eastAsia="Calibri" w:hAnsi="Arial" w:cs="Arial"/>
          <w:szCs w:val="24"/>
        </w:rPr>
        <w:t>).</w:t>
      </w:r>
    </w:p>
    <w:p w14:paraId="354FBD97" w14:textId="77777777" w:rsidR="00187CB9" w:rsidRPr="00187CB9" w:rsidRDefault="00187CB9" w:rsidP="00187CB9">
      <w:pPr>
        <w:spacing w:after="160" w:line="259" w:lineRule="auto"/>
        <w:ind w:firstLine="0"/>
        <w:contextualSpacing/>
        <w:rPr>
          <w:rFonts w:ascii="Arial" w:eastAsia="Calibri" w:hAnsi="Arial" w:cs="Arial"/>
          <w:szCs w:val="24"/>
        </w:rPr>
      </w:pPr>
    </w:p>
    <w:p w14:paraId="7DE7744D" w14:textId="3CBCE2A6" w:rsidR="00AA230D" w:rsidRPr="00187CB9" w:rsidRDefault="00AA230D" w:rsidP="00187CB9">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WTI un </w:t>
      </w:r>
      <w:proofErr w:type="spellStart"/>
      <w:r w:rsidRPr="00187CB9">
        <w:rPr>
          <w:rFonts w:ascii="Arial" w:eastAsia="Calibri" w:hAnsi="Arial" w:cs="Arial"/>
          <w:szCs w:val="24"/>
        </w:rPr>
        <w:t>Brent</w:t>
      </w:r>
      <w:proofErr w:type="spellEnd"/>
      <w:r w:rsidRPr="00187CB9">
        <w:rPr>
          <w:rFonts w:ascii="Arial" w:eastAsia="Calibri" w:hAnsi="Arial" w:cs="Arial"/>
          <w:szCs w:val="24"/>
        </w:rPr>
        <w:t xml:space="preserve"> jēlnaftas indeksi ir starp visaktīvāk tirgotajiem preču nākotnes (</w:t>
      </w:r>
      <w:proofErr w:type="spellStart"/>
      <w:r w:rsidRPr="00187CB9">
        <w:rPr>
          <w:rFonts w:ascii="Arial" w:eastAsia="Calibri" w:hAnsi="Arial" w:cs="Arial"/>
          <w:i/>
          <w:iCs/>
          <w:szCs w:val="24"/>
        </w:rPr>
        <w:t>angl</w:t>
      </w:r>
      <w:proofErr w:type="spellEnd"/>
      <w:r w:rsidRPr="00187CB9">
        <w:rPr>
          <w:rFonts w:ascii="Arial" w:eastAsia="Calibri" w:hAnsi="Arial" w:cs="Arial"/>
          <w:i/>
          <w:iCs/>
          <w:szCs w:val="24"/>
        </w:rPr>
        <w:t xml:space="preserve">. – </w:t>
      </w:r>
      <w:proofErr w:type="spellStart"/>
      <w:r w:rsidRPr="00187CB9">
        <w:rPr>
          <w:rFonts w:ascii="Arial" w:eastAsia="Calibri" w:hAnsi="Arial" w:cs="Arial"/>
          <w:i/>
          <w:iCs/>
          <w:szCs w:val="24"/>
        </w:rPr>
        <w:t>futures</w:t>
      </w:r>
      <w:proofErr w:type="spellEnd"/>
      <w:r w:rsidRPr="00187CB9">
        <w:rPr>
          <w:rFonts w:ascii="Arial" w:eastAsia="Calibri" w:hAnsi="Arial" w:cs="Arial"/>
          <w:szCs w:val="24"/>
        </w:rPr>
        <w:t xml:space="preserve">) darījumu līgumiem, šie indeksi ir attiecīgā produkta etalons gan dēļ savas atpazīstamības, gan tirgus likviditātes. WTI tipa jēlnafta tiek tirgota Ņujorkas preču biržā (NYMEX), savukārt </w:t>
      </w:r>
      <w:proofErr w:type="spellStart"/>
      <w:r w:rsidRPr="00187CB9">
        <w:rPr>
          <w:rFonts w:ascii="Arial" w:eastAsia="Calibri" w:hAnsi="Arial" w:cs="Arial"/>
          <w:szCs w:val="24"/>
        </w:rPr>
        <w:t>Brent</w:t>
      </w:r>
      <w:proofErr w:type="spellEnd"/>
      <w:r w:rsidRPr="00187CB9">
        <w:rPr>
          <w:rFonts w:ascii="Arial" w:eastAsia="Calibri" w:hAnsi="Arial" w:cs="Arial"/>
          <w:szCs w:val="24"/>
        </w:rPr>
        <w:t xml:space="preserve"> tipa jēlnaftas līgumi tiek tirgoti gan Starpkontinentālajā biržā (ICE), gan Ņujorkas preču biržā (NYMEX).</w:t>
      </w:r>
    </w:p>
    <w:p w14:paraId="6E78B91A" w14:textId="77777777" w:rsidR="00797925" w:rsidRDefault="00797925" w:rsidP="00797925">
      <w:pPr>
        <w:spacing w:after="160" w:line="259" w:lineRule="auto"/>
        <w:ind w:firstLine="0"/>
        <w:contextualSpacing/>
        <w:rPr>
          <w:rFonts w:ascii="Arial" w:eastAsia="Calibri" w:hAnsi="Arial" w:cs="Arial"/>
          <w:szCs w:val="24"/>
        </w:rPr>
      </w:pPr>
    </w:p>
    <w:p w14:paraId="3365B7B1" w14:textId="521443C5" w:rsidR="00AA230D" w:rsidRPr="00187CB9" w:rsidRDefault="00AA230D"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Roterdamas mazuta indekss ir Eiropā tirgoto nākotnes darījumu cenu indekss. Mazuts tiek iegūts pārtvaicējot jēlnaftu, no kura turpmākā tehnoloģiskajā procesā tiek iegūts bitumens, līdz ar to tika izvēlēts mazuta cenu indekss, lai izpētītu šī indeksa korelāciju ar bitumena cenu Latvijā.</w:t>
      </w:r>
    </w:p>
    <w:p w14:paraId="52C570BE" w14:textId="77777777" w:rsidR="00797925" w:rsidRDefault="00797925" w:rsidP="00797925">
      <w:pPr>
        <w:spacing w:after="160" w:line="259" w:lineRule="auto"/>
        <w:ind w:firstLine="0"/>
        <w:contextualSpacing/>
        <w:rPr>
          <w:rFonts w:ascii="Arial" w:eastAsia="Calibri" w:hAnsi="Arial" w:cs="Arial"/>
          <w:szCs w:val="24"/>
        </w:rPr>
      </w:pPr>
    </w:p>
    <w:p w14:paraId="6044D5BE" w14:textId="286200CD" w:rsidR="00AA230D" w:rsidRPr="00187CB9" w:rsidRDefault="00AA230D"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Šanhajas bitumena nākotnes cenu indekss ir publiski tirgots indekss, kurā tiek atspoguļotas biržā tirgotās bitumena nākotnes līgumu cenas. Līgumi tiek aktīvi tirgoti kopš 2013. gada un šis ir vienīgais, publiskais, šāda veida indekss</w:t>
      </w:r>
      <w:r w:rsidR="00C16007" w:rsidRPr="00187CB9">
        <w:rPr>
          <w:rFonts w:ascii="Arial" w:eastAsia="Calibri" w:hAnsi="Arial" w:cs="Arial"/>
          <w:szCs w:val="24"/>
        </w:rPr>
        <w:t>,</w:t>
      </w:r>
      <w:r w:rsidRPr="00187CB9">
        <w:rPr>
          <w:rFonts w:ascii="Arial" w:eastAsia="Calibri" w:hAnsi="Arial" w:cs="Arial"/>
          <w:szCs w:val="24"/>
        </w:rPr>
        <w:t xml:space="preserve"> ar kura palīdzību tiek tirgoti bitumena nākotnes līgumi.</w:t>
      </w:r>
    </w:p>
    <w:p w14:paraId="6E702EAB" w14:textId="77777777" w:rsidR="00797925" w:rsidRDefault="00797925" w:rsidP="00797925">
      <w:pPr>
        <w:spacing w:after="160" w:line="259" w:lineRule="auto"/>
        <w:ind w:firstLine="0"/>
        <w:contextualSpacing/>
        <w:rPr>
          <w:rFonts w:ascii="Arial" w:eastAsia="Calibri" w:hAnsi="Arial" w:cs="Arial"/>
          <w:szCs w:val="24"/>
        </w:rPr>
      </w:pPr>
    </w:p>
    <w:p w14:paraId="4BC8CF10" w14:textId="7B8312AB" w:rsidR="00AA230D" w:rsidRPr="00187CB9" w:rsidRDefault="00AA230D"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Lai izvērtētu metāla cenas pieaugumu tika identificēti </w:t>
      </w:r>
      <w:r w:rsidR="00046698" w:rsidRPr="00187CB9">
        <w:rPr>
          <w:rFonts w:ascii="Arial" w:eastAsia="Calibri" w:hAnsi="Arial" w:cs="Arial"/>
          <w:szCs w:val="24"/>
        </w:rPr>
        <w:t xml:space="preserve">šādi </w:t>
      </w:r>
      <w:r w:rsidRPr="00187CB9">
        <w:rPr>
          <w:rFonts w:ascii="Arial" w:eastAsia="Calibri" w:hAnsi="Arial" w:cs="Arial"/>
          <w:szCs w:val="24"/>
        </w:rPr>
        <w:t>cenu indeksi – Londonas metālu biržas tērauda armatūras cenu indekss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JBP1 COMDTY – LME Steel </w:t>
      </w:r>
      <w:proofErr w:type="spellStart"/>
      <w:r w:rsidRPr="00187CB9">
        <w:rPr>
          <w:rFonts w:ascii="Arial" w:eastAsia="Calibri" w:hAnsi="Arial" w:cs="Arial"/>
          <w:szCs w:val="24"/>
        </w:rPr>
        <w:t>Rebar</w:t>
      </w:r>
      <w:proofErr w:type="spellEnd"/>
      <w:r w:rsidRPr="00187CB9">
        <w:rPr>
          <w:rFonts w:ascii="Arial" w:eastAsia="Calibri" w:hAnsi="Arial" w:cs="Arial"/>
          <w:szCs w:val="24"/>
        </w:rPr>
        <w:t xml:space="preserve"> FOB </w:t>
      </w:r>
      <w:proofErr w:type="spellStart"/>
      <w:r w:rsidRPr="00187CB9">
        <w:rPr>
          <w:rFonts w:ascii="Arial" w:eastAsia="Calibri" w:hAnsi="Arial" w:cs="Arial"/>
          <w:szCs w:val="24"/>
        </w:rPr>
        <w:t>Turkey</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Platts</w:t>
      </w:r>
      <w:proofErr w:type="spellEnd"/>
      <w:r w:rsidRPr="00187CB9">
        <w:rPr>
          <w:rFonts w:ascii="Arial" w:eastAsia="Calibri" w:hAnsi="Arial" w:cs="Arial"/>
          <w:szCs w:val="24"/>
        </w:rPr>
        <w:t>)),  Ziemeļeiropas karsti velmētā tērauda indekss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HER2 </w:t>
      </w:r>
      <w:proofErr w:type="spellStart"/>
      <w:r w:rsidRPr="00187CB9">
        <w:rPr>
          <w:rFonts w:ascii="Arial" w:eastAsia="Calibri" w:hAnsi="Arial" w:cs="Arial"/>
          <w:szCs w:val="24"/>
        </w:rPr>
        <w:t>Comdty</w:t>
      </w:r>
      <w:proofErr w:type="spellEnd"/>
      <w:r w:rsidRPr="00187CB9">
        <w:rPr>
          <w:rFonts w:ascii="Arial" w:eastAsia="Calibri" w:hAnsi="Arial" w:cs="Arial"/>
          <w:szCs w:val="24"/>
        </w:rPr>
        <w:t xml:space="preserve"> – North </w:t>
      </w:r>
      <w:proofErr w:type="spellStart"/>
      <w:r w:rsidRPr="00187CB9">
        <w:rPr>
          <w:rFonts w:ascii="Arial" w:eastAsia="Calibri" w:hAnsi="Arial" w:cs="Arial"/>
          <w:szCs w:val="24"/>
        </w:rPr>
        <w:t>European</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Hot-Rolled</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Coil</w:t>
      </w:r>
      <w:proofErr w:type="spellEnd"/>
      <w:r w:rsidRPr="00187CB9">
        <w:rPr>
          <w:rFonts w:ascii="Arial" w:eastAsia="Calibri" w:hAnsi="Arial" w:cs="Arial"/>
          <w:szCs w:val="24"/>
        </w:rPr>
        <w:t xml:space="preserve"> Steel (</w:t>
      </w:r>
      <w:proofErr w:type="spellStart"/>
      <w:r w:rsidRPr="00187CB9">
        <w:rPr>
          <w:rFonts w:ascii="Arial" w:eastAsia="Calibri" w:hAnsi="Arial" w:cs="Arial"/>
          <w:szCs w:val="24"/>
        </w:rPr>
        <w:t>Argus</w:t>
      </w:r>
      <w:proofErr w:type="spellEnd"/>
      <w:r w:rsidRPr="00187CB9">
        <w:rPr>
          <w:rFonts w:ascii="Arial" w:eastAsia="Calibri" w:hAnsi="Arial" w:cs="Arial"/>
          <w:szCs w:val="24"/>
        </w:rPr>
        <w:t xml:space="preserve">) </w:t>
      </w:r>
      <w:proofErr w:type="spellStart"/>
      <w:r w:rsidRPr="00187CB9">
        <w:rPr>
          <w:rFonts w:ascii="Arial" w:eastAsia="Calibri" w:hAnsi="Arial" w:cs="Arial"/>
          <w:szCs w:val="24"/>
        </w:rPr>
        <w:t>Futures</w:t>
      </w:r>
      <w:proofErr w:type="spellEnd"/>
      <w:r w:rsidRPr="00187CB9">
        <w:rPr>
          <w:rFonts w:ascii="Arial" w:eastAsia="Calibri" w:hAnsi="Arial" w:cs="Arial"/>
          <w:szCs w:val="24"/>
        </w:rPr>
        <w:t>) un Šanhajas biržā tirgotais deformētās tērauda armatūras indekss (</w:t>
      </w:r>
      <w:proofErr w:type="spellStart"/>
      <w:r w:rsidRPr="00187CB9">
        <w:rPr>
          <w:rFonts w:ascii="Arial" w:eastAsia="Calibri" w:hAnsi="Arial" w:cs="Arial"/>
          <w:szCs w:val="24"/>
        </w:rPr>
        <w:t>ticker</w:t>
      </w:r>
      <w:proofErr w:type="spellEnd"/>
      <w:r w:rsidRPr="00187CB9">
        <w:rPr>
          <w:rFonts w:ascii="Arial" w:eastAsia="Calibri" w:hAnsi="Arial" w:cs="Arial"/>
          <w:szCs w:val="24"/>
        </w:rPr>
        <w:t xml:space="preserve">: RBT1 COMB </w:t>
      </w:r>
      <w:proofErr w:type="spellStart"/>
      <w:r w:rsidRPr="00187CB9">
        <w:rPr>
          <w:rFonts w:ascii="Arial" w:eastAsia="Calibri" w:hAnsi="Arial" w:cs="Arial"/>
          <w:szCs w:val="24"/>
        </w:rPr>
        <w:t>Comdty</w:t>
      </w:r>
      <w:proofErr w:type="spellEnd"/>
      <w:r w:rsidRPr="00187CB9">
        <w:rPr>
          <w:rFonts w:ascii="Arial" w:eastAsia="Calibri" w:hAnsi="Arial" w:cs="Arial"/>
          <w:szCs w:val="24"/>
        </w:rPr>
        <w:t xml:space="preserve"> - SHFE </w:t>
      </w:r>
      <w:proofErr w:type="spellStart"/>
      <w:r w:rsidRPr="00187CB9">
        <w:rPr>
          <w:rFonts w:ascii="Arial" w:eastAsia="Calibri" w:hAnsi="Arial" w:cs="Arial"/>
          <w:szCs w:val="24"/>
        </w:rPr>
        <w:t>Deformed</w:t>
      </w:r>
      <w:proofErr w:type="spellEnd"/>
      <w:r w:rsidRPr="00187CB9">
        <w:rPr>
          <w:rFonts w:ascii="Arial" w:eastAsia="Calibri" w:hAnsi="Arial" w:cs="Arial"/>
          <w:szCs w:val="24"/>
        </w:rPr>
        <w:t xml:space="preserve"> Bar Steel </w:t>
      </w:r>
      <w:proofErr w:type="spellStart"/>
      <w:r w:rsidRPr="00187CB9">
        <w:rPr>
          <w:rFonts w:ascii="Arial" w:eastAsia="Calibri" w:hAnsi="Arial" w:cs="Arial"/>
          <w:szCs w:val="24"/>
        </w:rPr>
        <w:t>Future</w:t>
      </w:r>
      <w:proofErr w:type="spellEnd"/>
      <w:r w:rsidRPr="00187CB9">
        <w:rPr>
          <w:rFonts w:ascii="Arial" w:eastAsia="Calibri" w:hAnsi="Arial" w:cs="Arial"/>
          <w:szCs w:val="24"/>
        </w:rPr>
        <w:t>.</w:t>
      </w:r>
    </w:p>
    <w:p w14:paraId="18D1C6F5" w14:textId="77777777" w:rsidR="00797925" w:rsidRDefault="00797925" w:rsidP="00797925">
      <w:pPr>
        <w:spacing w:after="160" w:line="259" w:lineRule="auto"/>
        <w:ind w:firstLine="0"/>
        <w:contextualSpacing/>
        <w:rPr>
          <w:rFonts w:ascii="Arial" w:eastAsia="Calibri" w:hAnsi="Arial" w:cs="Arial"/>
          <w:szCs w:val="24"/>
        </w:rPr>
      </w:pPr>
    </w:p>
    <w:p w14:paraId="63EF14B4" w14:textId="136B5CBF" w:rsidR="00AA230D" w:rsidRPr="00187CB9" w:rsidRDefault="00AA230D" w:rsidP="00797925">
      <w:pPr>
        <w:spacing w:after="160" w:line="259" w:lineRule="auto"/>
        <w:ind w:firstLine="0"/>
        <w:contextualSpacing/>
        <w:rPr>
          <w:rFonts w:ascii="Arial" w:eastAsia="Calibri" w:hAnsi="Arial" w:cs="Arial"/>
          <w:szCs w:val="24"/>
          <w:u w:val="single"/>
        </w:rPr>
      </w:pPr>
      <w:r w:rsidRPr="00187CB9">
        <w:rPr>
          <w:rFonts w:ascii="Arial" w:eastAsia="Calibri" w:hAnsi="Arial" w:cs="Arial"/>
          <w:szCs w:val="24"/>
          <w:u w:val="single"/>
        </w:rPr>
        <w:t>Indeksu analīze</w:t>
      </w:r>
    </w:p>
    <w:p w14:paraId="6A043D95" w14:textId="77777777" w:rsidR="00797925" w:rsidRDefault="00797925" w:rsidP="00797925">
      <w:pPr>
        <w:spacing w:after="160" w:line="259" w:lineRule="auto"/>
        <w:ind w:firstLine="0"/>
        <w:contextualSpacing/>
        <w:rPr>
          <w:rFonts w:ascii="Arial" w:eastAsia="Calibri" w:hAnsi="Arial" w:cs="Arial"/>
          <w:b/>
          <w:bCs/>
          <w:szCs w:val="24"/>
        </w:rPr>
      </w:pPr>
    </w:p>
    <w:p w14:paraId="65FA2085" w14:textId="42CA67FD" w:rsidR="00AA230D" w:rsidRPr="00187CB9" w:rsidRDefault="00AA230D" w:rsidP="00797925">
      <w:pPr>
        <w:spacing w:after="160" w:line="259" w:lineRule="auto"/>
        <w:ind w:firstLine="0"/>
        <w:contextualSpacing/>
        <w:rPr>
          <w:rFonts w:ascii="Arial" w:eastAsia="Calibri" w:hAnsi="Arial" w:cs="Arial"/>
          <w:b/>
          <w:bCs/>
          <w:szCs w:val="24"/>
        </w:rPr>
      </w:pPr>
      <w:r w:rsidRPr="00187CB9">
        <w:rPr>
          <w:rFonts w:ascii="Arial" w:eastAsia="Calibri" w:hAnsi="Arial" w:cs="Arial"/>
          <w:b/>
          <w:bCs/>
          <w:szCs w:val="24"/>
        </w:rPr>
        <w:t>Bitumens</w:t>
      </w:r>
    </w:p>
    <w:p w14:paraId="092AEFCD" w14:textId="0C5B8B01" w:rsidR="00AA230D" w:rsidRPr="00187CB9" w:rsidRDefault="00AA230D"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Veicot indeksu analīzi</w:t>
      </w:r>
      <w:r w:rsidR="00046698" w:rsidRPr="00187CB9">
        <w:rPr>
          <w:rFonts w:ascii="Arial" w:eastAsia="Calibri" w:hAnsi="Arial" w:cs="Arial"/>
          <w:szCs w:val="24"/>
        </w:rPr>
        <w:t>,</w:t>
      </w:r>
      <w:r w:rsidRPr="00187CB9">
        <w:rPr>
          <w:rFonts w:ascii="Arial" w:eastAsia="Calibri" w:hAnsi="Arial" w:cs="Arial"/>
          <w:szCs w:val="24"/>
        </w:rPr>
        <w:t xml:space="preserve"> tika apskatīta cenu indeksu savstarpējā korelācija. Korelāciju analīze tika veikta dažādos periodos, lai novērtētu indeksu savstarpējo dinamiku dažādos ekonomiskajos apstākļos. </w:t>
      </w:r>
      <w:r w:rsidRPr="00187CB9">
        <w:rPr>
          <w:rFonts w:ascii="Arial" w:eastAsia="Calibri" w:hAnsi="Arial" w:cs="Arial"/>
          <w:color w:val="000000"/>
          <w:szCs w:val="24"/>
        </w:rPr>
        <w:t xml:space="preserve">Ņemot vērā iepriekš minēto cenu indeksu salīdzinājumu, LVC uzskata par pamatotu bitumena bāzes cenu noteikt pēc publiski </w:t>
      </w:r>
      <w:r w:rsidRPr="00187CB9">
        <w:rPr>
          <w:rFonts w:ascii="Arial" w:eastAsia="Calibri" w:hAnsi="Arial" w:cs="Arial"/>
          <w:szCs w:val="24"/>
        </w:rPr>
        <w:t>Šanhajas biržā tirgotais bitumena cenu indeksa (SHFE), kuram ir salīdzinoši augsta un stabila korelācija ar mūsu reģionā faktiski bijušajām bitumena cenām Mažeiķu naftas pārstrādes rūpnīcā.</w:t>
      </w:r>
    </w:p>
    <w:p w14:paraId="13D631DE" w14:textId="0767DDB0" w:rsidR="00423DCE" w:rsidRPr="00797925" w:rsidRDefault="00AA230D" w:rsidP="00797925">
      <w:pPr>
        <w:spacing w:after="160" w:line="259" w:lineRule="auto"/>
        <w:ind w:firstLine="0"/>
        <w:contextualSpacing/>
        <w:rPr>
          <w:rFonts w:ascii="Arial" w:eastAsia="Calibri" w:hAnsi="Arial" w:cs="Arial"/>
          <w:color w:val="000000"/>
          <w:szCs w:val="24"/>
        </w:rPr>
      </w:pPr>
      <w:r w:rsidRPr="00187CB9">
        <w:rPr>
          <w:rFonts w:ascii="Arial" w:eastAsia="Calibri" w:hAnsi="Arial" w:cs="Arial"/>
          <w:color w:val="000000"/>
          <w:szCs w:val="24"/>
        </w:rPr>
        <w:t xml:space="preserve">Savukārt, cenu pieauguma aprēķinam LVC uzskata par pamatotu izmantot </w:t>
      </w:r>
      <w:proofErr w:type="spellStart"/>
      <w:r w:rsidRPr="00187CB9">
        <w:rPr>
          <w:rFonts w:ascii="Arial" w:eastAsia="Calibri" w:hAnsi="Arial" w:cs="Arial"/>
          <w:color w:val="000000"/>
          <w:szCs w:val="24"/>
        </w:rPr>
        <w:t>Brent</w:t>
      </w:r>
      <w:proofErr w:type="spellEnd"/>
      <w:r w:rsidRPr="00187CB9">
        <w:rPr>
          <w:rFonts w:ascii="Arial" w:eastAsia="Calibri" w:hAnsi="Arial" w:cs="Arial"/>
          <w:color w:val="000000"/>
          <w:szCs w:val="24"/>
        </w:rPr>
        <w:t xml:space="preserve"> jēlnaftas nākotnes līgumu indeksu, kas ir starp visaktīvāk publiski tirgotajiem preču nākotnes darījumu </w:t>
      </w:r>
      <w:r w:rsidRPr="00187CB9">
        <w:rPr>
          <w:rFonts w:ascii="Arial" w:eastAsia="Calibri" w:hAnsi="Arial" w:cs="Arial"/>
          <w:color w:val="000000"/>
          <w:szCs w:val="24"/>
        </w:rPr>
        <w:lastRenderedPageBreak/>
        <w:t>līgumu indeksiem, ir attiecīgā produkta etalons dēļ savas atpazīstamības un tirgus likviditātes, tikpat kā neietekmējami no atsevišķiem tirgus dalībniekiem.</w:t>
      </w:r>
      <w:r w:rsidR="00797925">
        <w:rPr>
          <w:rFonts w:ascii="Arial" w:eastAsia="Calibri" w:hAnsi="Arial" w:cs="Arial"/>
          <w:color w:val="000000"/>
          <w:szCs w:val="24"/>
        </w:rPr>
        <w:t xml:space="preserve"> </w:t>
      </w:r>
      <w:r w:rsidR="00423DCE" w:rsidRPr="00187CB9">
        <w:rPr>
          <w:rFonts w:ascii="Arial" w:eastAsia="Calibri" w:hAnsi="Arial" w:cs="Arial"/>
          <w:szCs w:val="24"/>
        </w:rPr>
        <w:t>Veicot aprēķinu tiek noteikts atskaites perioda cena, kura tiek noteikta aprēķinot 120 tirdzniecības dienu (periods, kurā tika iesniegta lielākā daļa piedāvājumu līdz krīzes sākumam</w:t>
      </w:r>
      <w:r w:rsidR="00C121B1" w:rsidRPr="00187CB9">
        <w:rPr>
          <w:rFonts w:ascii="Arial" w:eastAsia="Calibri" w:hAnsi="Arial" w:cs="Arial"/>
          <w:szCs w:val="24"/>
        </w:rPr>
        <w:t>, pielīdzināms apmēram 5-6 mēnešiem</w:t>
      </w:r>
      <w:r w:rsidR="00423DCE" w:rsidRPr="00187CB9">
        <w:rPr>
          <w:rFonts w:ascii="Arial" w:eastAsia="Calibri" w:hAnsi="Arial" w:cs="Arial"/>
          <w:szCs w:val="24"/>
        </w:rPr>
        <w:t xml:space="preserve">) vidējo cenu </w:t>
      </w:r>
      <w:proofErr w:type="spellStart"/>
      <w:r w:rsidR="00423DCE" w:rsidRPr="00187CB9">
        <w:rPr>
          <w:rFonts w:ascii="Arial" w:eastAsia="Calibri" w:hAnsi="Arial" w:cs="Arial"/>
          <w:szCs w:val="24"/>
        </w:rPr>
        <w:t>Brent</w:t>
      </w:r>
      <w:proofErr w:type="spellEnd"/>
      <w:r w:rsidR="00423DCE" w:rsidRPr="00187CB9">
        <w:rPr>
          <w:rFonts w:ascii="Arial" w:eastAsia="Calibri" w:hAnsi="Arial" w:cs="Arial"/>
          <w:szCs w:val="24"/>
        </w:rPr>
        <w:t xml:space="preserve"> jēlnaftas nākotnes līgumiem ar </w:t>
      </w:r>
      <w:r w:rsidR="00DE2B7D" w:rsidRPr="00187CB9">
        <w:rPr>
          <w:rFonts w:ascii="Arial" w:eastAsia="Calibri" w:hAnsi="Arial" w:cs="Arial"/>
          <w:szCs w:val="24"/>
        </w:rPr>
        <w:t xml:space="preserve">šādiem </w:t>
      </w:r>
      <w:r w:rsidR="00423DCE" w:rsidRPr="00187CB9">
        <w:rPr>
          <w:rFonts w:ascii="Arial" w:eastAsia="Calibri" w:hAnsi="Arial" w:cs="Arial"/>
          <w:szCs w:val="24"/>
        </w:rPr>
        <w:t xml:space="preserve">piegādes datumiem - jūnijs 2022, jūlijs 2022, augusts 2022 un septembris 2022 (šūnas C16:C19).  Šanhajas biržā tirgotajam bitumena cenu indeksam vidējā atskaites perioda cena tiek noteikta izmantojot nākotnes darījumu līgumu indeksus ar tādiem pašiem piegādes datumiem kā </w:t>
      </w:r>
      <w:proofErr w:type="spellStart"/>
      <w:r w:rsidR="00423DCE" w:rsidRPr="00187CB9">
        <w:rPr>
          <w:rFonts w:ascii="Arial" w:eastAsia="Calibri" w:hAnsi="Arial" w:cs="Arial"/>
          <w:szCs w:val="24"/>
        </w:rPr>
        <w:t>Brent</w:t>
      </w:r>
      <w:proofErr w:type="spellEnd"/>
      <w:r w:rsidR="00423DCE" w:rsidRPr="00187CB9">
        <w:rPr>
          <w:rFonts w:ascii="Arial" w:eastAsia="Calibri" w:hAnsi="Arial" w:cs="Arial"/>
          <w:szCs w:val="24"/>
        </w:rPr>
        <w:t xml:space="preserve"> jēlnaftas gadījumā (šūnas C21:C24).Atskaites perioda cena tiek noteikta 2022. gada 18. februārī </w:t>
      </w:r>
      <w:r w:rsidR="00423DCE" w:rsidRPr="00187CB9">
        <w:rPr>
          <w:rFonts w:ascii="Arial" w:eastAsia="Times New Roman" w:hAnsi="Arial" w:cs="Arial"/>
          <w:szCs w:val="24"/>
        </w:rPr>
        <w:t>(pēdējās pilnās nedēļas pirms kara pēdējā tirdzniecības diena)</w:t>
      </w:r>
      <w:r w:rsidR="00423DCE" w:rsidRPr="00187CB9">
        <w:rPr>
          <w:rFonts w:ascii="Arial" w:eastAsia="Calibri" w:hAnsi="Arial" w:cs="Arial"/>
          <w:szCs w:val="24"/>
        </w:rPr>
        <w:t>.</w:t>
      </w:r>
    </w:p>
    <w:p w14:paraId="389DFFB6" w14:textId="77777777" w:rsidR="00797925" w:rsidRDefault="00797925" w:rsidP="00797925">
      <w:pPr>
        <w:spacing w:after="160" w:line="259" w:lineRule="auto"/>
        <w:ind w:firstLine="0"/>
        <w:contextualSpacing/>
        <w:rPr>
          <w:rFonts w:ascii="Arial" w:eastAsia="Calibri" w:hAnsi="Arial" w:cs="Arial"/>
          <w:szCs w:val="24"/>
        </w:rPr>
      </w:pPr>
    </w:p>
    <w:p w14:paraId="1B43C4E7" w14:textId="7CCBFC61" w:rsidR="00423DCE" w:rsidRPr="00187CB9" w:rsidRDefault="00423DCE"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Ievadot kompensācijas perioda beigu datumu (šūna A2) (29.04.2022. – pēdējā tirdzniecības diena 2022.gada aprīlī, pēdējā mēnesī pirms grozījumu veikšanas) tiek aprēķinātas dienu skaits (šūna C2), kas tiek ņemtas vērā, lai noteiktu vidējo bitumena un </w:t>
      </w:r>
      <w:proofErr w:type="spellStart"/>
      <w:r w:rsidRPr="00187CB9">
        <w:rPr>
          <w:rFonts w:ascii="Arial" w:eastAsia="Calibri" w:hAnsi="Arial" w:cs="Arial"/>
          <w:szCs w:val="24"/>
        </w:rPr>
        <w:t>Brent</w:t>
      </w:r>
      <w:proofErr w:type="spellEnd"/>
      <w:r w:rsidRPr="00187CB9">
        <w:rPr>
          <w:rFonts w:ascii="Arial" w:eastAsia="Calibri" w:hAnsi="Arial" w:cs="Arial"/>
          <w:szCs w:val="24"/>
        </w:rPr>
        <w:t xml:space="preserve"> jēlnaftas cenu kompensācijas periodā (šūnas C3 un C8).</w:t>
      </w:r>
    </w:p>
    <w:p w14:paraId="4855BB2D" w14:textId="77777777" w:rsidR="00797925" w:rsidRDefault="00797925" w:rsidP="00797925">
      <w:pPr>
        <w:spacing w:after="160" w:line="259" w:lineRule="auto"/>
        <w:ind w:firstLine="0"/>
        <w:contextualSpacing/>
        <w:rPr>
          <w:rFonts w:ascii="Arial" w:eastAsia="Calibri" w:hAnsi="Arial" w:cs="Arial"/>
          <w:szCs w:val="24"/>
        </w:rPr>
      </w:pPr>
    </w:p>
    <w:p w14:paraId="11E58EB0" w14:textId="2067C74E" w:rsidR="00423DCE" w:rsidRPr="00187CB9" w:rsidRDefault="00423DCE" w:rsidP="00797925">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Šūnā C26 tiek aprēķināts procentuālais pieaugums starp fiksēto atskaites </w:t>
      </w:r>
      <w:proofErr w:type="spellStart"/>
      <w:r w:rsidRPr="00187CB9">
        <w:rPr>
          <w:rFonts w:ascii="Arial" w:eastAsia="Calibri" w:hAnsi="Arial" w:cs="Arial"/>
          <w:szCs w:val="24"/>
        </w:rPr>
        <w:t>Brent</w:t>
      </w:r>
      <w:proofErr w:type="spellEnd"/>
      <w:r w:rsidRPr="00187CB9">
        <w:rPr>
          <w:rFonts w:ascii="Arial" w:eastAsia="Calibri" w:hAnsi="Arial" w:cs="Arial"/>
          <w:szCs w:val="24"/>
        </w:rPr>
        <w:t xml:space="preserve"> jēlnaftas cenu un vidējo cenu par kompensējamo periodu. Šūnā C28 tiek veikts kompensācijas apjoma aprēķins par kompensējamo periodu. Kompensācijas apjoms tiek iegūts</w:t>
      </w:r>
      <w:r w:rsidR="00E31F4D" w:rsidRPr="00187CB9">
        <w:rPr>
          <w:rFonts w:ascii="Arial" w:eastAsia="Calibri" w:hAnsi="Arial" w:cs="Arial"/>
          <w:szCs w:val="24"/>
        </w:rPr>
        <w:t>,</w:t>
      </w:r>
      <w:r w:rsidRPr="00187CB9">
        <w:rPr>
          <w:rFonts w:ascii="Arial" w:eastAsia="Calibri" w:hAnsi="Arial" w:cs="Arial"/>
          <w:szCs w:val="24"/>
        </w:rPr>
        <w:t xml:space="preserve"> salīdzinot vidējo bitumena cenu par kompensācijas periodu un bitumena vidējo 120 tirdzniecības dienu cenas reizinājumu ar  jēlnaftas cenu pieauguma % kompensācijas periodā. Bitumena cenas pieaugumam tiks piemērots kompensācijas apjoms tiks  </w:t>
      </w:r>
      <w:r w:rsidRPr="00187CB9">
        <w:rPr>
          <w:rFonts w:ascii="Arial" w:eastAsia="Calibri" w:hAnsi="Arial" w:cs="Arial"/>
          <w:szCs w:val="24"/>
          <w:u w:val="single"/>
        </w:rPr>
        <w:t>183,54 EUR/MT</w:t>
      </w:r>
      <w:r w:rsidRPr="00187CB9">
        <w:rPr>
          <w:rFonts w:ascii="Arial" w:eastAsia="Calibri" w:hAnsi="Arial" w:cs="Arial"/>
          <w:szCs w:val="24"/>
        </w:rPr>
        <w:t xml:space="preserve">. </w:t>
      </w:r>
    </w:p>
    <w:p w14:paraId="2E9FB554" w14:textId="77777777" w:rsidR="00423DCE" w:rsidRPr="00187CB9" w:rsidRDefault="00423DCE" w:rsidP="00423DCE">
      <w:pPr>
        <w:spacing w:after="160" w:line="259" w:lineRule="auto"/>
        <w:ind w:firstLine="567"/>
        <w:contextualSpacing/>
        <w:rPr>
          <w:rFonts w:ascii="Arial" w:eastAsia="Calibri" w:hAnsi="Arial" w:cs="Arial"/>
          <w:szCs w:val="24"/>
        </w:rPr>
      </w:pPr>
    </w:p>
    <w:p w14:paraId="3FFC249E" w14:textId="77777777" w:rsidR="00423DCE" w:rsidRPr="00187CB9" w:rsidRDefault="00423DCE" w:rsidP="00423DCE">
      <w:pPr>
        <w:spacing w:after="160" w:line="259" w:lineRule="auto"/>
        <w:ind w:firstLine="567"/>
        <w:contextualSpacing/>
        <w:rPr>
          <w:rFonts w:ascii="Arial" w:eastAsia="Calibri" w:hAnsi="Arial" w:cs="Arial"/>
          <w:szCs w:val="24"/>
        </w:rPr>
      </w:pPr>
      <w:r w:rsidRPr="00187CB9">
        <w:rPr>
          <w:rFonts w:ascii="Arial" w:eastAsia="Calibri" w:hAnsi="Arial" w:cs="Arial"/>
          <w:noProof/>
          <w:szCs w:val="24"/>
        </w:rPr>
        <w:drawing>
          <wp:inline distT="0" distB="0" distL="0" distR="0" wp14:anchorId="4737E02C" wp14:editId="61F3C848">
            <wp:extent cx="4438650" cy="4399370"/>
            <wp:effectExtent l="0" t="0" r="0" b="1270"/>
            <wp:docPr id="12" name="Attēls 12"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descr="Attēls, kurā ir galds&#10;&#10;Apraksts ģenerēts automātiski"/>
                    <pic:cNvPicPr/>
                  </pic:nvPicPr>
                  <pic:blipFill>
                    <a:blip r:embed="rId8"/>
                    <a:stretch>
                      <a:fillRect/>
                    </a:stretch>
                  </pic:blipFill>
                  <pic:spPr>
                    <a:xfrm>
                      <a:off x="0" y="0"/>
                      <a:ext cx="4440305" cy="4401010"/>
                    </a:xfrm>
                    <a:prstGeom prst="rect">
                      <a:avLst/>
                    </a:prstGeom>
                  </pic:spPr>
                </pic:pic>
              </a:graphicData>
            </a:graphic>
          </wp:inline>
        </w:drawing>
      </w:r>
    </w:p>
    <w:p w14:paraId="471597B7" w14:textId="5879DB90" w:rsidR="00423DCE" w:rsidRPr="00187CB9" w:rsidRDefault="00423DCE" w:rsidP="00423DCE">
      <w:pPr>
        <w:spacing w:after="160" w:line="257" w:lineRule="auto"/>
        <w:rPr>
          <w:rFonts w:ascii="Arial" w:eastAsia="Times New Roman" w:hAnsi="Arial" w:cs="Arial"/>
          <w:i/>
          <w:iCs/>
          <w:szCs w:val="24"/>
        </w:rPr>
      </w:pPr>
    </w:p>
    <w:p w14:paraId="55E90DA2" w14:textId="77777777" w:rsidR="00011B84" w:rsidRPr="00187CB9" w:rsidRDefault="00011B84" w:rsidP="00423DCE">
      <w:pPr>
        <w:spacing w:after="160" w:line="257" w:lineRule="auto"/>
        <w:rPr>
          <w:rFonts w:ascii="Arial" w:eastAsia="Times New Roman" w:hAnsi="Arial" w:cs="Arial"/>
          <w:i/>
          <w:iCs/>
          <w:szCs w:val="24"/>
        </w:rPr>
      </w:pPr>
    </w:p>
    <w:p w14:paraId="226A2AEA" w14:textId="6057567C" w:rsidR="00423DCE" w:rsidRPr="00797925" w:rsidRDefault="00423DCE" w:rsidP="00797925">
      <w:pPr>
        <w:spacing w:after="160" w:line="257" w:lineRule="auto"/>
        <w:ind w:firstLine="0"/>
        <w:rPr>
          <w:rFonts w:ascii="Arial" w:eastAsia="Times New Roman" w:hAnsi="Arial" w:cs="Arial"/>
          <w:i/>
          <w:iCs/>
          <w:szCs w:val="24"/>
          <w:u w:val="single"/>
        </w:rPr>
      </w:pPr>
      <w:r w:rsidRPr="00797925">
        <w:rPr>
          <w:rFonts w:ascii="Arial" w:eastAsia="Times New Roman" w:hAnsi="Arial" w:cs="Arial"/>
          <w:i/>
          <w:iCs/>
          <w:szCs w:val="24"/>
          <w:u w:val="single"/>
        </w:rPr>
        <w:t>Asfaltbetona cenas pārrēķināšanas mehānisms</w:t>
      </w:r>
    </w:p>
    <w:p w14:paraId="5DFD07E8" w14:textId="77777777" w:rsidR="00423DCE" w:rsidRPr="00187CB9" w:rsidRDefault="00423DCE" w:rsidP="00797925">
      <w:pPr>
        <w:spacing w:after="160" w:line="257" w:lineRule="auto"/>
        <w:ind w:firstLine="0"/>
        <w:rPr>
          <w:rFonts w:ascii="Arial" w:eastAsia="Times New Roman" w:hAnsi="Arial" w:cs="Arial"/>
          <w:szCs w:val="24"/>
        </w:rPr>
      </w:pPr>
      <w:r w:rsidRPr="00187CB9">
        <w:rPr>
          <w:rFonts w:ascii="Arial" w:eastAsia="Times New Roman" w:hAnsi="Arial" w:cs="Arial"/>
          <w:szCs w:val="24"/>
        </w:rPr>
        <w:t>Asfaltbetona vienas vienības cenas pārrēķins tiks veikts, aprēķinot bitumena svaru vienā darba pozīcijas vienībā (tonna vai m</w:t>
      </w:r>
      <w:r w:rsidRPr="00187CB9">
        <w:rPr>
          <w:rFonts w:ascii="Arial" w:eastAsia="Times New Roman" w:hAnsi="Arial" w:cs="Arial"/>
          <w:szCs w:val="24"/>
          <w:vertAlign w:val="superscript"/>
        </w:rPr>
        <w:t>2</w:t>
      </w:r>
      <w:r w:rsidRPr="00187CB9">
        <w:rPr>
          <w:rFonts w:ascii="Arial" w:eastAsia="Times New Roman" w:hAnsi="Arial" w:cs="Arial"/>
          <w:szCs w:val="24"/>
        </w:rPr>
        <w:t>), un ievērtējot bitumena izmaksu pieauguma ietekmi uz vienas vienības cenu.</w:t>
      </w:r>
    </w:p>
    <w:p w14:paraId="4F253243" w14:textId="6A3D63C7" w:rsidR="00423DCE" w:rsidRPr="00797925" w:rsidRDefault="00423DCE" w:rsidP="00797925">
      <w:pPr>
        <w:spacing w:after="160" w:line="257" w:lineRule="auto"/>
        <w:ind w:firstLine="0"/>
        <w:rPr>
          <w:rFonts w:ascii="Arial" w:eastAsia="Times New Roman" w:hAnsi="Arial" w:cs="Arial"/>
          <w:b/>
          <w:bCs/>
          <w:szCs w:val="24"/>
        </w:rPr>
      </w:pPr>
      <w:r w:rsidRPr="00797925">
        <w:rPr>
          <w:rFonts w:ascii="Arial" w:eastAsia="Times New Roman" w:hAnsi="Arial" w:cs="Arial"/>
          <w:b/>
          <w:bCs/>
          <w:szCs w:val="24"/>
        </w:rPr>
        <w:t>Piemērs</w:t>
      </w:r>
    </w:p>
    <w:p w14:paraId="61060C27" w14:textId="77777777" w:rsidR="00423DCE" w:rsidRPr="00187CB9" w:rsidRDefault="00423DCE" w:rsidP="00797925">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 xml:space="preserve">Bitumena vienas tonnas izmaksu pieaugumu ir 183,54 euro, kas aprēķināts atbilstoši iepriekš aprakstītai bitumena izmaksu pieauguma koeficientam 1,3886 pret bāzes cenu 472,31 euro. </w:t>
      </w:r>
    </w:p>
    <w:p w14:paraId="400D2FE0" w14:textId="01631852" w:rsidR="00423DCE" w:rsidRPr="00187CB9" w:rsidRDefault="00423DCE" w:rsidP="00797925">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Pieņemot</w:t>
      </w:r>
      <w:r w:rsidR="000678CA" w:rsidRPr="00187CB9">
        <w:rPr>
          <w:rFonts w:ascii="Arial" w:eastAsia="Times New Roman" w:hAnsi="Arial" w:cs="Arial"/>
          <w:i/>
          <w:iCs/>
          <w:szCs w:val="24"/>
        </w:rPr>
        <w:t>, ka</w:t>
      </w:r>
      <w:r w:rsidRPr="00187CB9">
        <w:rPr>
          <w:rFonts w:ascii="Arial" w:eastAsia="Times New Roman" w:hAnsi="Arial" w:cs="Arial"/>
          <w:i/>
          <w:iCs/>
          <w:szCs w:val="24"/>
        </w:rPr>
        <w:t xml:space="preserve"> asfaltbetona AC16 </w:t>
      </w:r>
      <w:proofErr w:type="spellStart"/>
      <w:r w:rsidRPr="00187CB9">
        <w:rPr>
          <w:rFonts w:ascii="Arial" w:eastAsia="Times New Roman" w:hAnsi="Arial" w:cs="Arial"/>
          <w:i/>
          <w:iCs/>
          <w:szCs w:val="24"/>
        </w:rPr>
        <w:t>base</w:t>
      </w:r>
      <w:proofErr w:type="spellEnd"/>
      <w:r w:rsidRPr="00187CB9">
        <w:rPr>
          <w:rFonts w:ascii="Arial" w:eastAsia="Times New Roman" w:hAnsi="Arial" w:cs="Arial"/>
          <w:i/>
          <w:iCs/>
          <w:szCs w:val="24"/>
        </w:rPr>
        <w:t>/</w:t>
      </w:r>
      <w:proofErr w:type="spellStart"/>
      <w:r w:rsidRPr="00187CB9">
        <w:rPr>
          <w:rFonts w:ascii="Arial" w:eastAsia="Times New Roman" w:hAnsi="Arial" w:cs="Arial"/>
          <w:i/>
          <w:iCs/>
          <w:szCs w:val="24"/>
        </w:rPr>
        <w:t>bin</w:t>
      </w:r>
      <w:proofErr w:type="spellEnd"/>
      <w:r w:rsidRPr="00187CB9">
        <w:rPr>
          <w:rFonts w:ascii="Arial" w:eastAsia="Times New Roman" w:hAnsi="Arial" w:cs="Arial"/>
          <w:i/>
          <w:iCs/>
          <w:szCs w:val="24"/>
        </w:rPr>
        <w:t xml:space="preserve"> vienas tonnas ražošanai tiek pielietots 0,042 t bitumena (tiks precizēts atbilstoši konkrētam līgumā paredzētam asfaltbetona tipam), vienības cena vienai tonnai asfaltbetona AC16 </w:t>
      </w:r>
      <w:proofErr w:type="spellStart"/>
      <w:r w:rsidRPr="00187CB9">
        <w:rPr>
          <w:rFonts w:ascii="Arial" w:eastAsia="Times New Roman" w:hAnsi="Arial" w:cs="Arial"/>
          <w:i/>
          <w:iCs/>
          <w:szCs w:val="24"/>
        </w:rPr>
        <w:t>base</w:t>
      </w:r>
      <w:proofErr w:type="spellEnd"/>
      <w:r w:rsidRPr="00187CB9">
        <w:rPr>
          <w:rFonts w:ascii="Arial" w:eastAsia="Times New Roman" w:hAnsi="Arial" w:cs="Arial"/>
          <w:i/>
          <w:iCs/>
          <w:szCs w:val="24"/>
        </w:rPr>
        <w:t>/</w:t>
      </w:r>
      <w:proofErr w:type="spellStart"/>
      <w:r w:rsidRPr="00187CB9">
        <w:rPr>
          <w:rFonts w:ascii="Arial" w:eastAsia="Times New Roman" w:hAnsi="Arial" w:cs="Arial"/>
          <w:i/>
          <w:iCs/>
          <w:szCs w:val="24"/>
        </w:rPr>
        <w:t>bin</w:t>
      </w:r>
      <w:proofErr w:type="spellEnd"/>
      <w:r w:rsidRPr="00187CB9">
        <w:rPr>
          <w:rFonts w:ascii="Arial" w:eastAsia="Times New Roman" w:hAnsi="Arial" w:cs="Arial"/>
          <w:i/>
          <w:iCs/>
          <w:szCs w:val="24"/>
        </w:rPr>
        <w:t xml:space="preserve"> tiek palielināta par 7,71 euro, (183,54*0,042=7,71). </w:t>
      </w:r>
    </w:p>
    <w:p w14:paraId="54F279F1" w14:textId="6E45D061" w:rsidR="00423DCE" w:rsidRPr="00187CB9" w:rsidRDefault="00423DCE" w:rsidP="00797925">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Viena kvadrātmetra asfalta cenas pieaugums tiks aprēķināts</w:t>
      </w:r>
      <w:r w:rsidR="000678CA" w:rsidRPr="00187CB9">
        <w:rPr>
          <w:rFonts w:ascii="Arial" w:eastAsia="Times New Roman" w:hAnsi="Arial" w:cs="Arial"/>
          <w:i/>
          <w:iCs/>
          <w:szCs w:val="24"/>
        </w:rPr>
        <w:t>,</w:t>
      </w:r>
      <w:r w:rsidRPr="00187CB9">
        <w:rPr>
          <w:rFonts w:ascii="Arial" w:eastAsia="Times New Roman" w:hAnsi="Arial" w:cs="Arial"/>
          <w:i/>
          <w:iCs/>
          <w:szCs w:val="24"/>
        </w:rPr>
        <w:t xml:space="preserve"> pielietojot </w:t>
      </w:r>
      <w:proofErr w:type="spellStart"/>
      <w:r w:rsidRPr="00187CB9">
        <w:rPr>
          <w:rFonts w:ascii="Arial" w:eastAsia="Times New Roman" w:hAnsi="Arial" w:cs="Arial"/>
          <w:i/>
          <w:iCs/>
          <w:szCs w:val="24"/>
        </w:rPr>
        <w:t>tilpumblīvuma</w:t>
      </w:r>
      <w:proofErr w:type="spellEnd"/>
      <w:r w:rsidRPr="00187CB9">
        <w:rPr>
          <w:rFonts w:ascii="Arial" w:eastAsia="Times New Roman" w:hAnsi="Arial" w:cs="Arial"/>
          <w:i/>
          <w:iCs/>
          <w:szCs w:val="24"/>
        </w:rPr>
        <w:t xml:space="preserve"> </w:t>
      </w:r>
      <w:proofErr w:type="spellStart"/>
      <w:r w:rsidRPr="00187CB9">
        <w:rPr>
          <w:rFonts w:ascii="Arial" w:eastAsia="Times New Roman" w:hAnsi="Arial" w:cs="Arial"/>
          <w:i/>
          <w:iCs/>
          <w:szCs w:val="24"/>
        </w:rPr>
        <w:t>koefiecientu</w:t>
      </w:r>
      <w:proofErr w:type="spellEnd"/>
      <w:r w:rsidRPr="00187CB9">
        <w:rPr>
          <w:rFonts w:ascii="Arial" w:eastAsia="Times New Roman" w:hAnsi="Arial" w:cs="Arial"/>
          <w:i/>
          <w:iCs/>
          <w:szCs w:val="24"/>
        </w:rPr>
        <w:t xml:space="preserve"> katram līgumā paredzētam asfaltbetona tipam. </w:t>
      </w:r>
    </w:p>
    <w:p w14:paraId="753CFD05" w14:textId="333C6636" w:rsidR="00423DCE" w:rsidRPr="00187CB9" w:rsidRDefault="00423DCE" w:rsidP="00797925">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Pieņem</w:t>
      </w:r>
      <w:r w:rsidR="00E97C44" w:rsidRPr="00187CB9">
        <w:rPr>
          <w:rFonts w:ascii="Arial" w:eastAsia="Times New Roman" w:hAnsi="Arial" w:cs="Arial"/>
          <w:i/>
          <w:iCs/>
          <w:szCs w:val="24"/>
        </w:rPr>
        <w:t>ot, ka</w:t>
      </w:r>
      <w:r w:rsidRPr="00187CB9">
        <w:rPr>
          <w:rFonts w:ascii="Arial" w:eastAsia="Times New Roman" w:hAnsi="Arial" w:cs="Arial"/>
          <w:i/>
          <w:iCs/>
          <w:szCs w:val="24"/>
        </w:rPr>
        <w:t xml:space="preserve"> AC16 </w:t>
      </w:r>
      <w:proofErr w:type="spellStart"/>
      <w:r w:rsidRPr="00187CB9">
        <w:rPr>
          <w:rFonts w:ascii="Arial" w:eastAsia="Times New Roman" w:hAnsi="Arial" w:cs="Arial"/>
          <w:i/>
          <w:iCs/>
          <w:szCs w:val="24"/>
        </w:rPr>
        <w:t>base</w:t>
      </w:r>
      <w:proofErr w:type="spellEnd"/>
      <w:r w:rsidRPr="00187CB9">
        <w:rPr>
          <w:rFonts w:ascii="Arial" w:eastAsia="Times New Roman" w:hAnsi="Arial" w:cs="Arial"/>
          <w:i/>
          <w:iCs/>
          <w:szCs w:val="24"/>
        </w:rPr>
        <w:t>/</w:t>
      </w:r>
      <w:proofErr w:type="spellStart"/>
      <w:r w:rsidRPr="00187CB9">
        <w:rPr>
          <w:rFonts w:ascii="Arial" w:eastAsia="Times New Roman" w:hAnsi="Arial" w:cs="Arial"/>
          <w:i/>
          <w:iCs/>
          <w:szCs w:val="24"/>
        </w:rPr>
        <w:t>bin</w:t>
      </w:r>
      <w:proofErr w:type="spellEnd"/>
      <w:r w:rsidRPr="00187CB9">
        <w:rPr>
          <w:rFonts w:ascii="Arial" w:eastAsia="Times New Roman" w:hAnsi="Arial" w:cs="Arial"/>
          <w:i/>
          <w:iCs/>
          <w:szCs w:val="24"/>
        </w:rPr>
        <w:t xml:space="preserve"> tiek izbūvēts 50mm biezumā un </w:t>
      </w:r>
      <w:proofErr w:type="spellStart"/>
      <w:r w:rsidRPr="00187CB9">
        <w:rPr>
          <w:rFonts w:ascii="Arial" w:eastAsia="Times New Roman" w:hAnsi="Arial" w:cs="Arial"/>
          <w:i/>
          <w:iCs/>
          <w:szCs w:val="24"/>
        </w:rPr>
        <w:t>tilpumblīvuma</w:t>
      </w:r>
      <w:proofErr w:type="spellEnd"/>
      <w:r w:rsidRPr="00187CB9">
        <w:rPr>
          <w:rFonts w:ascii="Arial" w:eastAsia="Times New Roman" w:hAnsi="Arial" w:cs="Arial"/>
          <w:i/>
          <w:iCs/>
          <w:szCs w:val="24"/>
        </w:rPr>
        <w:t xml:space="preserve"> koeficients ir 2,403, bitumena īpatsvars vienā kvadrātmetrā ir 0,0050t (50*0,042*2,403/1000=0,0050), kā rezultātā vienības cena viena kvadrātmetra tiks palielināta par 0,92 euro (183.54*0,0050=0,92)</w:t>
      </w:r>
    </w:p>
    <w:p w14:paraId="3FC3AD4A" w14:textId="77777777" w:rsidR="00423DCE" w:rsidRPr="00187CB9" w:rsidRDefault="00423DCE" w:rsidP="00797925">
      <w:pPr>
        <w:spacing w:after="160" w:line="259" w:lineRule="auto"/>
        <w:ind w:firstLine="0"/>
        <w:contextualSpacing/>
        <w:rPr>
          <w:rFonts w:ascii="Arial" w:eastAsia="Calibri" w:hAnsi="Arial" w:cs="Arial"/>
          <w:i/>
          <w:iCs/>
          <w:szCs w:val="24"/>
        </w:rPr>
      </w:pPr>
      <w:r w:rsidRPr="00187CB9">
        <w:rPr>
          <w:rFonts w:ascii="Arial" w:eastAsia="Calibri" w:hAnsi="Arial" w:cs="Arial"/>
          <w:i/>
          <w:iCs/>
          <w:szCs w:val="24"/>
        </w:rPr>
        <w:t xml:space="preserve">Identisks aprēķina mehānisms tiks piemērots virsmas apstrādes darbiem un </w:t>
      </w:r>
      <w:r w:rsidRPr="00187CB9">
        <w:rPr>
          <w:rFonts w:ascii="Arial" w:hAnsi="Arial" w:cs="Arial"/>
          <w:i/>
          <w:iCs/>
          <w:szCs w:val="24"/>
        </w:rPr>
        <w:t>segas pamatu kārtu gruntēšanai, iemaisot  bitumena emulsiju.</w:t>
      </w:r>
    </w:p>
    <w:p w14:paraId="7D0242CF" w14:textId="77777777" w:rsidR="00423DCE" w:rsidRPr="00187CB9" w:rsidRDefault="00423DCE" w:rsidP="00423DCE">
      <w:pPr>
        <w:spacing w:after="160" w:line="259" w:lineRule="auto"/>
        <w:ind w:left="927" w:firstLine="0"/>
        <w:contextualSpacing/>
        <w:rPr>
          <w:rFonts w:ascii="Arial" w:eastAsia="Calibri" w:hAnsi="Arial" w:cs="Arial"/>
          <w:szCs w:val="24"/>
        </w:rPr>
      </w:pPr>
    </w:p>
    <w:p w14:paraId="127A629E" w14:textId="77777777" w:rsidR="00423DCE" w:rsidRPr="00494738" w:rsidRDefault="00423DCE" w:rsidP="00797925">
      <w:pPr>
        <w:spacing w:after="160" w:line="259" w:lineRule="auto"/>
        <w:ind w:firstLine="0"/>
        <w:contextualSpacing/>
        <w:rPr>
          <w:rFonts w:ascii="Arial" w:eastAsia="Calibri" w:hAnsi="Arial" w:cs="Arial"/>
          <w:b/>
          <w:bCs/>
          <w:szCs w:val="24"/>
        </w:rPr>
      </w:pPr>
      <w:r w:rsidRPr="00494738">
        <w:rPr>
          <w:rFonts w:ascii="Arial" w:eastAsia="Calibri" w:hAnsi="Arial" w:cs="Arial"/>
          <w:b/>
          <w:bCs/>
          <w:szCs w:val="24"/>
        </w:rPr>
        <w:t>Tērauda cenas pieauguma aprēķina metodika</w:t>
      </w:r>
    </w:p>
    <w:p w14:paraId="7C25F64D" w14:textId="77777777" w:rsidR="00423DCE" w:rsidRPr="00187CB9" w:rsidRDefault="00423DCE" w:rsidP="00423DCE">
      <w:pPr>
        <w:spacing w:after="160" w:line="259" w:lineRule="auto"/>
        <w:ind w:left="927" w:firstLine="0"/>
        <w:contextualSpacing/>
        <w:rPr>
          <w:rFonts w:ascii="Arial" w:eastAsia="Calibri" w:hAnsi="Arial" w:cs="Arial"/>
          <w:b/>
          <w:bCs/>
          <w:i/>
          <w:iCs/>
          <w:szCs w:val="24"/>
        </w:rPr>
      </w:pPr>
    </w:p>
    <w:p w14:paraId="5766DCEF" w14:textId="6F7BFE21" w:rsidR="00423DCE" w:rsidRPr="00187CB9" w:rsidRDefault="00423DCE" w:rsidP="00494738">
      <w:pPr>
        <w:spacing w:after="160" w:line="257" w:lineRule="auto"/>
        <w:ind w:firstLine="0"/>
        <w:rPr>
          <w:rFonts w:ascii="Arial" w:eastAsia="Times New Roman" w:hAnsi="Arial" w:cs="Arial"/>
          <w:szCs w:val="24"/>
        </w:rPr>
      </w:pPr>
      <w:r w:rsidRPr="00187CB9">
        <w:rPr>
          <w:rFonts w:ascii="Arial" w:eastAsia="Times New Roman" w:hAnsi="Arial" w:cs="Arial"/>
          <w:szCs w:val="24"/>
        </w:rPr>
        <w:t>Veicot aprēķinu</w:t>
      </w:r>
      <w:r w:rsidR="002A0329" w:rsidRPr="00187CB9">
        <w:rPr>
          <w:rFonts w:ascii="Arial" w:eastAsia="Times New Roman" w:hAnsi="Arial" w:cs="Arial"/>
          <w:szCs w:val="24"/>
        </w:rPr>
        <w:t>,</w:t>
      </w:r>
      <w:r w:rsidRPr="00187CB9">
        <w:rPr>
          <w:rFonts w:ascii="Arial" w:eastAsia="Times New Roman" w:hAnsi="Arial" w:cs="Arial"/>
          <w:szCs w:val="24"/>
        </w:rPr>
        <w:t xml:space="preserve"> tiek noteikts atskaites perioda cena, kura tiek noteikta aprēķinot 120 tirdzniecības dienu </w:t>
      </w:r>
      <w:r w:rsidRPr="00187CB9">
        <w:rPr>
          <w:rFonts w:ascii="Arial" w:eastAsia="Calibri" w:hAnsi="Arial" w:cs="Arial"/>
          <w:szCs w:val="24"/>
        </w:rPr>
        <w:t>(periods, kurā tika iesniegta lielākā daļa piedāvājumu līdz krīzes sākumam</w:t>
      </w:r>
      <w:r w:rsidR="002A0329" w:rsidRPr="00187CB9">
        <w:rPr>
          <w:rFonts w:ascii="Arial" w:eastAsia="Calibri" w:hAnsi="Arial" w:cs="Arial"/>
          <w:szCs w:val="24"/>
        </w:rPr>
        <w:t>, pielīdzināms apmēram 5-6 mēnešiem</w:t>
      </w:r>
      <w:r w:rsidRPr="00187CB9">
        <w:rPr>
          <w:rFonts w:ascii="Arial" w:eastAsia="Calibri" w:hAnsi="Arial" w:cs="Arial"/>
          <w:szCs w:val="24"/>
        </w:rPr>
        <w:t xml:space="preserve">) </w:t>
      </w:r>
      <w:r w:rsidRPr="00187CB9">
        <w:rPr>
          <w:rFonts w:ascii="Arial" w:eastAsia="Times New Roman" w:hAnsi="Arial" w:cs="Arial"/>
          <w:szCs w:val="24"/>
        </w:rPr>
        <w:t>vidējo cenu tērauda cenu indeksam (šūna C2) ar atskaites punktu – 18.02.2022. (pēdējās pilnās nedēļas pirms kara pēdējā tirdzniecības diena).</w:t>
      </w:r>
    </w:p>
    <w:p w14:paraId="2036AB7F" w14:textId="3295CC4D" w:rsidR="00423DCE" w:rsidRPr="00187CB9" w:rsidRDefault="00423DCE" w:rsidP="00494738">
      <w:pPr>
        <w:spacing w:after="160" w:line="257" w:lineRule="auto"/>
        <w:ind w:firstLine="0"/>
        <w:rPr>
          <w:rFonts w:ascii="Arial" w:eastAsia="Times New Roman" w:hAnsi="Arial" w:cs="Arial"/>
          <w:szCs w:val="24"/>
        </w:rPr>
      </w:pPr>
      <w:r w:rsidRPr="00187CB9">
        <w:rPr>
          <w:rFonts w:ascii="Arial" w:eastAsia="Times New Roman" w:hAnsi="Arial" w:cs="Arial"/>
          <w:szCs w:val="24"/>
        </w:rPr>
        <w:t xml:space="preserve">Ievadot kompensācijas perioda beigu datumu (šūna A1) </w:t>
      </w:r>
      <w:r w:rsidRPr="00187CB9">
        <w:rPr>
          <w:rFonts w:ascii="Arial" w:eastAsia="Calibri" w:hAnsi="Arial" w:cs="Arial"/>
          <w:szCs w:val="24"/>
        </w:rPr>
        <w:t>(29.04.2022. – pēdējā tirdzniecības diena 2022.gada aprīlī, pēdējā mēnesī pirms grozījumu veikšanas)</w:t>
      </w:r>
      <w:r w:rsidR="00C54ACF" w:rsidRPr="00187CB9">
        <w:rPr>
          <w:rFonts w:ascii="Arial" w:eastAsia="Calibri" w:hAnsi="Arial" w:cs="Arial"/>
          <w:szCs w:val="24"/>
        </w:rPr>
        <w:t>,</w:t>
      </w:r>
      <w:r w:rsidRPr="00187CB9">
        <w:rPr>
          <w:rFonts w:ascii="Arial" w:eastAsia="Calibri" w:hAnsi="Arial" w:cs="Arial"/>
          <w:szCs w:val="24"/>
        </w:rPr>
        <w:t xml:space="preserve"> </w:t>
      </w:r>
      <w:r w:rsidRPr="00187CB9">
        <w:rPr>
          <w:rFonts w:ascii="Arial" w:eastAsia="Times New Roman" w:hAnsi="Arial" w:cs="Arial"/>
          <w:szCs w:val="24"/>
        </w:rPr>
        <w:t>tiek aprēķinātas dienu skaits (šūna C1), kas tiek ņemtas vērā, lai noteiktu vidējo tērauda cenu kompensācijas periodā (šūna C2).</w:t>
      </w:r>
    </w:p>
    <w:p w14:paraId="6C5DE57A" w14:textId="77777777" w:rsidR="00423DCE" w:rsidRPr="00187CB9" w:rsidRDefault="00423DCE" w:rsidP="00494738">
      <w:pPr>
        <w:spacing w:after="160" w:line="257" w:lineRule="auto"/>
        <w:ind w:firstLine="0"/>
        <w:rPr>
          <w:rFonts w:ascii="Arial" w:eastAsia="Times New Roman" w:hAnsi="Arial" w:cs="Arial"/>
          <w:szCs w:val="24"/>
        </w:rPr>
      </w:pPr>
      <w:r w:rsidRPr="00187CB9">
        <w:rPr>
          <w:rFonts w:ascii="Arial" w:eastAsia="Times New Roman" w:hAnsi="Arial" w:cs="Arial"/>
          <w:szCs w:val="24"/>
        </w:rPr>
        <w:t xml:space="preserve">Šūnā C15 tiek aprēķināts procentuālais pieaugums starp fiksēto atskaites tērauda cenu un vidējo cenu par kompensējamo periodu. Šūnā C16 tiek aprēķināts kompensācijas apjoms, kas tiek iegūts sareizinot fiksēto tērauda vidējo cenu atskaites periodā (šūna C9) un aprēķināto procentuālo cenas pieaugumu (šūna C15), ja rezultāts šūnā C16 ir pozitīvs skaitlis, tas norāda uz kompensējamo apjomu EUR/MT, par iepriekš noteikto kompensācijas periodu. Tārauda cenu pieaugumam tiks piemērots kompensācijas apjoms </w:t>
      </w:r>
      <w:r w:rsidRPr="00187CB9">
        <w:rPr>
          <w:rFonts w:ascii="Arial" w:eastAsia="Times New Roman" w:hAnsi="Arial" w:cs="Arial"/>
          <w:szCs w:val="24"/>
          <w:u w:val="single"/>
        </w:rPr>
        <w:t>291,42 EUR/MT</w:t>
      </w:r>
      <w:r w:rsidRPr="00187CB9">
        <w:rPr>
          <w:rFonts w:ascii="Arial" w:eastAsia="Times New Roman" w:hAnsi="Arial" w:cs="Arial"/>
          <w:szCs w:val="24"/>
        </w:rPr>
        <w:t xml:space="preserve">. </w:t>
      </w:r>
    </w:p>
    <w:p w14:paraId="57F0155D" w14:textId="77777777" w:rsidR="00423DCE" w:rsidRPr="00187CB9" w:rsidRDefault="00423DCE" w:rsidP="00423DCE">
      <w:pPr>
        <w:spacing w:after="160" w:line="257" w:lineRule="auto"/>
        <w:rPr>
          <w:rFonts w:ascii="Arial" w:eastAsia="Calibri" w:hAnsi="Arial" w:cs="Arial"/>
          <w:szCs w:val="24"/>
        </w:rPr>
      </w:pPr>
      <w:r w:rsidRPr="00187CB9">
        <w:rPr>
          <w:rFonts w:ascii="Arial" w:eastAsia="Calibri" w:hAnsi="Arial" w:cs="Arial"/>
          <w:noProof/>
          <w:szCs w:val="24"/>
        </w:rPr>
        <w:lastRenderedPageBreak/>
        <w:drawing>
          <wp:inline distT="0" distB="0" distL="0" distR="0" wp14:anchorId="21130860" wp14:editId="199414CF">
            <wp:extent cx="4533900" cy="3039971"/>
            <wp:effectExtent l="0" t="0" r="0" b="8255"/>
            <wp:docPr id="13" name="Attēls 13"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13" descr="Attēls, kurā ir galds&#10;&#10;Apraksts ģenerēts automātiski"/>
                    <pic:cNvPicPr/>
                  </pic:nvPicPr>
                  <pic:blipFill>
                    <a:blip r:embed="rId9"/>
                    <a:stretch>
                      <a:fillRect/>
                    </a:stretch>
                  </pic:blipFill>
                  <pic:spPr>
                    <a:xfrm>
                      <a:off x="0" y="0"/>
                      <a:ext cx="4543798" cy="3046607"/>
                    </a:xfrm>
                    <a:prstGeom prst="rect">
                      <a:avLst/>
                    </a:prstGeom>
                  </pic:spPr>
                </pic:pic>
              </a:graphicData>
            </a:graphic>
          </wp:inline>
        </w:drawing>
      </w:r>
    </w:p>
    <w:p w14:paraId="307075F1" w14:textId="77777777" w:rsidR="00423DCE" w:rsidRPr="00187CB9" w:rsidRDefault="00423DCE" w:rsidP="00423DCE">
      <w:pPr>
        <w:spacing w:after="160" w:line="257" w:lineRule="auto"/>
        <w:rPr>
          <w:rFonts w:ascii="Arial" w:eastAsia="Times New Roman" w:hAnsi="Arial" w:cs="Arial"/>
          <w:szCs w:val="24"/>
        </w:rPr>
      </w:pPr>
    </w:p>
    <w:p w14:paraId="65695A44" w14:textId="5F0F5B30" w:rsidR="00423DCE" w:rsidRPr="00187CB9" w:rsidRDefault="00423DCE" w:rsidP="00494738">
      <w:pPr>
        <w:spacing w:after="160" w:line="257" w:lineRule="auto"/>
        <w:ind w:firstLine="0"/>
        <w:rPr>
          <w:rFonts w:ascii="Arial" w:eastAsia="Times New Roman" w:hAnsi="Arial" w:cs="Arial"/>
          <w:szCs w:val="24"/>
        </w:rPr>
      </w:pPr>
      <w:r w:rsidRPr="00187CB9">
        <w:rPr>
          <w:rFonts w:ascii="Arial" w:eastAsia="Times New Roman" w:hAnsi="Arial" w:cs="Arial"/>
          <w:szCs w:val="24"/>
        </w:rPr>
        <w:t xml:space="preserve">Tērauda vienības cenas pārrēķins tiks veiks, ievērtējot tērauda izmaksu pieauguma ietekmi uz vienu vienību (tonnu vai metru). </w:t>
      </w:r>
    </w:p>
    <w:p w14:paraId="15B8D9FE" w14:textId="1DF6E871" w:rsidR="00423DCE" w:rsidRPr="00494738" w:rsidRDefault="00423DCE" w:rsidP="00494738">
      <w:pPr>
        <w:spacing w:after="160" w:line="257" w:lineRule="auto"/>
        <w:ind w:firstLine="0"/>
        <w:rPr>
          <w:rFonts w:ascii="Arial" w:eastAsia="Times New Roman" w:hAnsi="Arial" w:cs="Arial"/>
          <w:b/>
          <w:bCs/>
          <w:szCs w:val="24"/>
        </w:rPr>
      </w:pPr>
      <w:r w:rsidRPr="00494738">
        <w:rPr>
          <w:rFonts w:ascii="Arial" w:eastAsia="Times New Roman" w:hAnsi="Arial" w:cs="Arial"/>
          <w:b/>
          <w:bCs/>
          <w:szCs w:val="24"/>
        </w:rPr>
        <w:t>Piemēr</w:t>
      </w:r>
      <w:r w:rsidR="00494738" w:rsidRPr="00494738">
        <w:rPr>
          <w:rFonts w:ascii="Arial" w:eastAsia="Times New Roman" w:hAnsi="Arial" w:cs="Arial"/>
          <w:b/>
          <w:bCs/>
          <w:szCs w:val="24"/>
        </w:rPr>
        <w:t>s</w:t>
      </w:r>
      <w:r w:rsidRPr="00494738">
        <w:rPr>
          <w:rFonts w:ascii="Arial" w:eastAsia="Times New Roman" w:hAnsi="Arial" w:cs="Arial"/>
          <w:b/>
          <w:bCs/>
          <w:szCs w:val="24"/>
        </w:rPr>
        <w:t xml:space="preserve"> </w:t>
      </w:r>
    </w:p>
    <w:p w14:paraId="6F8F9F57" w14:textId="6B2A36BF" w:rsidR="00423DCE" w:rsidRPr="00187CB9" w:rsidRDefault="00423DCE" w:rsidP="00494738">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 xml:space="preserve">Tērauda vienas tonnas izmaksu pieaugums ir 291,42 euro, kas aprēķināts atbilstoši iepriekš aprakstītai </w:t>
      </w:r>
      <w:r w:rsidR="008B37E8" w:rsidRPr="00187CB9">
        <w:rPr>
          <w:rFonts w:ascii="Arial" w:eastAsia="Times New Roman" w:hAnsi="Arial" w:cs="Arial"/>
          <w:i/>
          <w:iCs/>
          <w:szCs w:val="24"/>
        </w:rPr>
        <w:t xml:space="preserve">tērauda </w:t>
      </w:r>
      <w:r w:rsidRPr="00187CB9">
        <w:rPr>
          <w:rFonts w:ascii="Arial" w:eastAsia="Times New Roman" w:hAnsi="Arial" w:cs="Arial"/>
          <w:i/>
          <w:iCs/>
          <w:szCs w:val="24"/>
        </w:rPr>
        <w:t>izmaksu pieauguma koeficientam 1,3367 pret bāzes cenu 865,53 euro.</w:t>
      </w:r>
    </w:p>
    <w:p w14:paraId="73E0C40A" w14:textId="77777777" w:rsidR="00423DCE" w:rsidRPr="00187CB9" w:rsidRDefault="00423DCE" w:rsidP="00494738">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 xml:space="preserve">Pārskatot vienības cenu tērauda barjerai, tiek pieņemts, ka vienā metrā uzstādāmās barjeras ir 0,02 t tērauda (tiks precizēts atbilstoši konkrētam līgumā paredzētam barjeras tipam), kā rezultātā viena metra barjeras uzstādīšanas vienības cena tiks palielināta par 5,82 euro (291,42*0,02=5,83). </w:t>
      </w:r>
    </w:p>
    <w:p w14:paraId="10CDA228" w14:textId="77777777" w:rsidR="00423DCE" w:rsidRPr="00187CB9" w:rsidRDefault="00423DCE" w:rsidP="00494738">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Tērauda stiegrojuma vienas tonnas vienības cena tiks palielināta par 291,42 euro.</w:t>
      </w:r>
    </w:p>
    <w:p w14:paraId="3BD28903" w14:textId="77777777" w:rsidR="00423DCE" w:rsidRPr="00187CB9" w:rsidRDefault="00423DCE" w:rsidP="00423DCE">
      <w:pPr>
        <w:spacing w:after="160" w:line="259" w:lineRule="auto"/>
        <w:ind w:left="927" w:firstLine="0"/>
        <w:contextualSpacing/>
        <w:rPr>
          <w:rFonts w:ascii="Arial" w:eastAsia="Calibri" w:hAnsi="Arial" w:cs="Arial"/>
          <w:szCs w:val="24"/>
        </w:rPr>
      </w:pPr>
    </w:p>
    <w:p w14:paraId="55ABC392" w14:textId="77777777" w:rsidR="00423DCE" w:rsidRPr="00187CB9" w:rsidRDefault="00423DCE" w:rsidP="00423DCE">
      <w:pPr>
        <w:spacing w:after="160" w:line="259" w:lineRule="auto"/>
        <w:ind w:left="927" w:firstLine="0"/>
        <w:contextualSpacing/>
        <w:rPr>
          <w:rFonts w:ascii="Arial" w:eastAsia="Calibri" w:hAnsi="Arial" w:cs="Arial"/>
          <w:szCs w:val="24"/>
        </w:rPr>
      </w:pPr>
    </w:p>
    <w:p w14:paraId="397A96AD" w14:textId="77777777" w:rsidR="00423DCE" w:rsidRPr="00187CB9" w:rsidRDefault="00423DCE" w:rsidP="00494738">
      <w:pPr>
        <w:spacing w:after="160" w:line="259" w:lineRule="auto"/>
        <w:ind w:firstLine="0"/>
        <w:contextualSpacing/>
        <w:rPr>
          <w:rFonts w:ascii="Arial" w:eastAsia="Calibri" w:hAnsi="Arial" w:cs="Arial"/>
          <w:b/>
          <w:bCs/>
          <w:i/>
          <w:iCs/>
          <w:szCs w:val="24"/>
        </w:rPr>
      </w:pPr>
      <w:r w:rsidRPr="00187CB9">
        <w:rPr>
          <w:rFonts w:ascii="Arial" w:eastAsia="Calibri" w:hAnsi="Arial" w:cs="Arial"/>
          <w:b/>
          <w:bCs/>
          <w:i/>
          <w:iCs/>
          <w:szCs w:val="24"/>
        </w:rPr>
        <w:t>Pārējo darbu vienības cenu pārrēķināšanas metodika.</w:t>
      </w:r>
    </w:p>
    <w:p w14:paraId="2EF32E22" w14:textId="77777777" w:rsidR="00423DCE" w:rsidRPr="00187CB9" w:rsidRDefault="00423DCE" w:rsidP="00423DCE">
      <w:pPr>
        <w:spacing w:after="160" w:line="259" w:lineRule="auto"/>
        <w:ind w:left="927" w:firstLine="0"/>
        <w:contextualSpacing/>
        <w:jc w:val="center"/>
        <w:rPr>
          <w:rFonts w:ascii="Arial" w:eastAsia="Calibri" w:hAnsi="Arial" w:cs="Arial"/>
          <w:i/>
          <w:iCs/>
          <w:szCs w:val="24"/>
        </w:rPr>
      </w:pPr>
    </w:p>
    <w:p w14:paraId="423DAC89" w14:textId="77777777" w:rsidR="00423DCE" w:rsidRPr="00187CB9" w:rsidRDefault="00423DCE" w:rsidP="00494738">
      <w:pPr>
        <w:spacing w:after="160" w:line="257" w:lineRule="auto"/>
        <w:ind w:firstLine="0"/>
        <w:rPr>
          <w:rFonts w:ascii="Arial" w:eastAsia="Calibri" w:hAnsi="Arial" w:cs="Arial"/>
          <w:szCs w:val="24"/>
        </w:rPr>
      </w:pPr>
      <w:r w:rsidRPr="00187CB9">
        <w:rPr>
          <w:rFonts w:ascii="Arial" w:eastAsia="Calibri" w:hAnsi="Arial" w:cs="Arial"/>
          <w:szCs w:val="24"/>
        </w:rPr>
        <w:t xml:space="preserve">Ņemot vērā, ka uz pārējo darbu vienības cenām ietekmi atstāj gan degvielas, gan energoresursu cenu pieaugums. LVC piemēro Centrālās statistikas pārvaldes </w:t>
      </w:r>
      <w:proofErr w:type="spellStart"/>
      <w:r w:rsidRPr="00187CB9">
        <w:rPr>
          <w:rFonts w:ascii="Arial" w:eastAsia="Calibri" w:hAnsi="Arial" w:cs="Arial"/>
          <w:szCs w:val="24"/>
        </w:rPr>
        <w:t>būvizmaksu</w:t>
      </w:r>
      <w:proofErr w:type="spellEnd"/>
      <w:r w:rsidRPr="00187CB9">
        <w:rPr>
          <w:rFonts w:ascii="Arial" w:eastAsia="Calibri" w:hAnsi="Arial" w:cs="Arial"/>
          <w:szCs w:val="24"/>
        </w:rPr>
        <w:t xml:space="preserve"> indeksu transporta objektiem</w:t>
      </w:r>
      <w:r w:rsidRPr="00187CB9">
        <w:rPr>
          <w:rFonts w:ascii="Arial" w:eastAsia="Calibri" w:hAnsi="Arial" w:cs="Arial"/>
          <w:szCs w:val="24"/>
          <w:vertAlign w:val="superscript"/>
        </w:rPr>
        <w:footnoteReference w:id="1"/>
      </w:r>
      <w:r w:rsidRPr="00187CB9">
        <w:rPr>
          <w:rFonts w:ascii="Arial" w:eastAsia="Calibri" w:hAnsi="Arial" w:cs="Arial"/>
          <w:szCs w:val="24"/>
        </w:rPr>
        <w:t xml:space="preserve"> periodā no 2022.gada janvāra (laiks pirms neparedzētajiem apstākļiem) līdz 2022.gada martam (ieskaitot) (laiks pēc neparedzēto apstākļu iestāšanās), norēķinot nost tipisku un paredzamu vidējo cenas pieaugumu līdzīgā laika periodā pirms būvsezonas uzsākšanas iepriekšējos trīs gados 2019., 2020., 2021.gadā attiecīgajos laika periodos – janvāris pret martu.</w:t>
      </w:r>
    </w:p>
    <w:p w14:paraId="5310E9F9" w14:textId="77777777" w:rsidR="00423DCE" w:rsidRPr="00494738" w:rsidRDefault="00423DCE" w:rsidP="00494738">
      <w:pPr>
        <w:spacing w:after="160" w:line="259" w:lineRule="auto"/>
        <w:ind w:firstLine="0"/>
        <w:contextualSpacing/>
        <w:rPr>
          <w:rFonts w:ascii="Arial" w:eastAsia="Calibri" w:hAnsi="Arial" w:cs="Arial"/>
          <w:szCs w:val="24"/>
          <w:u w:val="single"/>
        </w:rPr>
      </w:pPr>
      <w:r w:rsidRPr="00494738">
        <w:rPr>
          <w:rFonts w:ascii="Arial" w:eastAsia="Calibri" w:hAnsi="Arial" w:cs="Arial"/>
          <w:szCs w:val="24"/>
          <w:u w:val="single"/>
        </w:rPr>
        <w:t>Kopējais pieaugums:</w:t>
      </w:r>
    </w:p>
    <w:p w14:paraId="4AECC601" w14:textId="244006ED" w:rsidR="00423DCE" w:rsidRPr="000E77DF" w:rsidRDefault="00423DCE" w:rsidP="000E77DF">
      <w:pPr>
        <w:pStyle w:val="Sarakstarindkopa"/>
        <w:numPr>
          <w:ilvl w:val="0"/>
          <w:numId w:val="2"/>
        </w:numPr>
        <w:spacing w:after="160" w:line="259" w:lineRule="auto"/>
        <w:rPr>
          <w:rFonts w:ascii="Arial" w:eastAsia="Calibri" w:hAnsi="Arial" w:cs="Arial"/>
          <w:szCs w:val="24"/>
        </w:rPr>
      </w:pPr>
      <w:r w:rsidRPr="000E77DF">
        <w:rPr>
          <w:rFonts w:ascii="Arial" w:eastAsia="Calibri" w:hAnsi="Arial" w:cs="Arial"/>
          <w:szCs w:val="24"/>
        </w:rPr>
        <w:t xml:space="preserve">2022.gada februāris pret janvāri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+2,8%</w:t>
      </w:r>
    </w:p>
    <w:p w14:paraId="7874F851" w14:textId="47567DB3" w:rsidR="00423DCE" w:rsidRPr="000E77DF" w:rsidRDefault="00423DCE" w:rsidP="000E77DF">
      <w:pPr>
        <w:pStyle w:val="Sarakstarindkopa"/>
        <w:numPr>
          <w:ilvl w:val="0"/>
          <w:numId w:val="2"/>
        </w:numPr>
        <w:spacing w:after="160" w:line="259" w:lineRule="auto"/>
        <w:rPr>
          <w:rFonts w:ascii="Arial" w:eastAsia="Calibri" w:hAnsi="Arial" w:cs="Arial"/>
          <w:szCs w:val="24"/>
        </w:rPr>
      </w:pPr>
      <w:r w:rsidRPr="000E77DF">
        <w:rPr>
          <w:rFonts w:ascii="Arial" w:eastAsia="Calibri" w:hAnsi="Arial" w:cs="Arial"/>
          <w:szCs w:val="24"/>
        </w:rPr>
        <w:lastRenderedPageBreak/>
        <w:t xml:space="preserve">2022.gada marts pret februāris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+3,1%</w:t>
      </w:r>
    </w:p>
    <w:p w14:paraId="3A67211B" w14:textId="6DC611A8" w:rsidR="00423DCE" w:rsidRPr="000E77DF" w:rsidRDefault="00423DCE" w:rsidP="000E77DF">
      <w:pPr>
        <w:spacing w:after="160" w:line="259" w:lineRule="auto"/>
        <w:ind w:firstLine="0"/>
        <w:contextualSpacing/>
        <w:rPr>
          <w:rFonts w:ascii="Arial" w:eastAsia="Calibri" w:hAnsi="Arial" w:cs="Arial"/>
          <w:szCs w:val="24"/>
          <w:u w:val="single"/>
        </w:rPr>
      </w:pPr>
      <w:r w:rsidRPr="000E77DF">
        <w:rPr>
          <w:rFonts w:ascii="Arial" w:eastAsia="Calibri" w:hAnsi="Arial" w:cs="Arial"/>
          <w:szCs w:val="24"/>
          <w:u w:val="single"/>
        </w:rPr>
        <w:t>T.i. kopējais pieaugums 2022.gada marts pret janvāris ir +5.9%</w:t>
      </w:r>
    </w:p>
    <w:p w14:paraId="62A041CE" w14:textId="77777777" w:rsidR="000E77DF" w:rsidRPr="00187CB9" w:rsidRDefault="000E77DF" w:rsidP="00423DCE">
      <w:pPr>
        <w:spacing w:after="160" w:line="259" w:lineRule="auto"/>
        <w:ind w:left="927" w:firstLine="0"/>
        <w:contextualSpacing/>
        <w:rPr>
          <w:rFonts w:ascii="Arial" w:eastAsia="Calibri" w:hAnsi="Arial" w:cs="Arial"/>
          <w:szCs w:val="24"/>
        </w:rPr>
      </w:pPr>
    </w:p>
    <w:p w14:paraId="216DCF05" w14:textId="77777777" w:rsidR="00423DCE" w:rsidRPr="000E77DF" w:rsidRDefault="00423DCE" w:rsidP="000E77DF">
      <w:pPr>
        <w:spacing w:after="160" w:line="259" w:lineRule="auto"/>
        <w:ind w:firstLine="0"/>
        <w:contextualSpacing/>
        <w:rPr>
          <w:rFonts w:ascii="Arial" w:eastAsia="Calibri" w:hAnsi="Arial" w:cs="Arial"/>
          <w:szCs w:val="24"/>
          <w:u w:val="single"/>
        </w:rPr>
      </w:pPr>
      <w:r w:rsidRPr="000E77DF">
        <w:rPr>
          <w:rFonts w:ascii="Arial" w:eastAsia="Calibri" w:hAnsi="Arial" w:cs="Arial"/>
          <w:szCs w:val="24"/>
          <w:u w:val="single"/>
        </w:rPr>
        <w:t>Tipiskais pieaugums:</w:t>
      </w:r>
    </w:p>
    <w:p w14:paraId="0CABADDD" w14:textId="5879F719" w:rsidR="00423DCE" w:rsidRPr="000E77DF" w:rsidRDefault="00423DCE" w:rsidP="000E77D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2019.gada februāris pret janvāri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+0,4%</w:t>
      </w:r>
    </w:p>
    <w:p w14:paraId="3139AFDB" w14:textId="5A0965FA" w:rsidR="00423DCE" w:rsidRPr="000E77DF" w:rsidRDefault="00423DCE" w:rsidP="000E77D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2019.gada marts pret februāris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+0,3%</w:t>
      </w:r>
    </w:p>
    <w:p w14:paraId="0D1C43B9" w14:textId="359A173D" w:rsidR="00423DCE" w:rsidRPr="000E77DF" w:rsidRDefault="00423DCE" w:rsidP="008C4495">
      <w:pPr>
        <w:pStyle w:val="Sarakstarindkopa"/>
        <w:numPr>
          <w:ilvl w:val="0"/>
          <w:numId w:val="4"/>
        </w:numPr>
        <w:spacing w:after="160" w:line="259" w:lineRule="auto"/>
        <w:rPr>
          <w:rFonts w:ascii="Arial" w:eastAsia="Calibri" w:hAnsi="Arial" w:cs="Arial"/>
          <w:szCs w:val="24"/>
        </w:rPr>
      </w:pPr>
      <w:r w:rsidRPr="000E77DF">
        <w:rPr>
          <w:rFonts w:ascii="Arial" w:eastAsia="Calibri" w:hAnsi="Arial" w:cs="Arial"/>
          <w:szCs w:val="24"/>
        </w:rPr>
        <w:t>2019.gadā pieaugums attiecīgajā periodā +0,7%</w:t>
      </w:r>
    </w:p>
    <w:p w14:paraId="2E23FF55" w14:textId="77777777" w:rsidR="000E77DF" w:rsidRDefault="00423DCE" w:rsidP="00A0304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2020.gada februāris pret janvāri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-0,2%</w:t>
      </w:r>
    </w:p>
    <w:p w14:paraId="1CB43733" w14:textId="360721BE" w:rsidR="00423DCE" w:rsidRPr="000E77DF" w:rsidRDefault="00423DCE" w:rsidP="00A0304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2020.gada marts pret februāris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+0,3%</w:t>
      </w:r>
    </w:p>
    <w:p w14:paraId="48B661FD" w14:textId="4AA642E6" w:rsidR="00423DCE" w:rsidRPr="000E77DF" w:rsidRDefault="00423DCE" w:rsidP="008C4495">
      <w:pPr>
        <w:pStyle w:val="Sarakstarindkopa"/>
        <w:numPr>
          <w:ilvl w:val="0"/>
          <w:numId w:val="4"/>
        </w:numPr>
        <w:spacing w:after="160" w:line="259" w:lineRule="auto"/>
        <w:rPr>
          <w:rFonts w:ascii="Arial" w:eastAsia="Calibri" w:hAnsi="Arial" w:cs="Arial"/>
          <w:szCs w:val="24"/>
        </w:rPr>
      </w:pPr>
      <w:r w:rsidRPr="000E77DF">
        <w:rPr>
          <w:rFonts w:ascii="Arial" w:eastAsia="Calibri" w:hAnsi="Arial" w:cs="Arial"/>
          <w:szCs w:val="24"/>
        </w:rPr>
        <w:t>2020.gadā pieaugums attiecīgajā periodā +0,1%</w:t>
      </w:r>
    </w:p>
    <w:p w14:paraId="17DA052C" w14:textId="67615954" w:rsidR="00423DCE" w:rsidRPr="000E77DF" w:rsidRDefault="00423DCE" w:rsidP="000E77D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2021.gada februāris pret janvāri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+0,7%</w:t>
      </w:r>
    </w:p>
    <w:p w14:paraId="22052FCB" w14:textId="3D9949B2" w:rsidR="00423DCE" w:rsidRPr="000E77DF" w:rsidRDefault="00423DCE" w:rsidP="000E77DF">
      <w:pPr>
        <w:pStyle w:val="Sarakstarindkopa"/>
        <w:numPr>
          <w:ilvl w:val="0"/>
          <w:numId w:val="3"/>
        </w:numPr>
        <w:spacing w:after="160" w:line="259" w:lineRule="auto"/>
        <w:rPr>
          <w:rFonts w:ascii="Arial" w:eastAsia="Calibri" w:hAnsi="Arial" w:cs="Arial"/>
          <w:szCs w:val="24"/>
        </w:rPr>
      </w:pPr>
      <w:r w:rsidRPr="000E77DF">
        <w:rPr>
          <w:rFonts w:ascii="Arial" w:eastAsia="Calibri" w:hAnsi="Arial" w:cs="Arial"/>
          <w:szCs w:val="24"/>
        </w:rPr>
        <w:t xml:space="preserve">2021.gada marts pret februāris – </w:t>
      </w:r>
      <w:proofErr w:type="spellStart"/>
      <w:r w:rsidRPr="000E77DF">
        <w:rPr>
          <w:rFonts w:ascii="Arial" w:eastAsia="Calibri" w:hAnsi="Arial" w:cs="Arial"/>
          <w:szCs w:val="24"/>
        </w:rPr>
        <w:t>būvizmaksu</w:t>
      </w:r>
      <w:proofErr w:type="spellEnd"/>
      <w:r w:rsidRPr="000E77DF">
        <w:rPr>
          <w:rFonts w:ascii="Arial" w:eastAsia="Calibri" w:hAnsi="Arial" w:cs="Arial"/>
          <w:szCs w:val="24"/>
        </w:rPr>
        <w:t xml:space="preserve"> pieaugums +2,8%</w:t>
      </w:r>
    </w:p>
    <w:p w14:paraId="3C074B2C" w14:textId="77777777" w:rsidR="00423DCE" w:rsidRPr="000E77DF" w:rsidRDefault="00423DCE" w:rsidP="008C4495">
      <w:pPr>
        <w:pStyle w:val="Sarakstarindkopa"/>
        <w:numPr>
          <w:ilvl w:val="0"/>
          <w:numId w:val="4"/>
        </w:numPr>
        <w:spacing w:after="160" w:line="259" w:lineRule="auto"/>
        <w:rPr>
          <w:rFonts w:ascii="Arial" w:eastAsia="Calibri" w:hAnsi="Arial" w:cs="Arial"/>
          <w:szCs w:val="24"/>
        </w:rPr>
      </w:pPr>
      <w:r w:rsidRPr="000E77DF">
        <w:rPr>
          <w:rFonts w:ascii="Arial" w:eastAsia="Calibri" w:hAnsi="Arial" w:cs="Arial"/>
          <w:szCs w:val="24"/>
        </w:rPr>
        <w:t>2021.gadā pieaugums attiecīgajā periodā +3,5%;</w:t>
      </w:r>
    </w:p>
    <w:p w14:paraId="7EDBBB4F" w14:textId="77777777" w:rsidR="00423DCE" w:rsidRPr="008C4495" w:rsidRDefault="00423DCE" w:rsidP="008C4495">
      <w:pPr>
        <w:spacing w:after="160" w:line="259" w:lineRule="auto"/>
        <w:ind w:firstLine="0"/>
        <w:contextualSpacing/>
        <w:rPr>
          <w:rFonts w:ascii="Arial" w:eastAsia="Calibri" w:hAnsi="Arial" w:cs="Arial"/>
          <w:szCs w:val="24"/>
          <w:u w:val="single"/>
        </w:rPr>
      </w:pPr>
      <w:r w:rsidRPr="008C4495">
        <w:rPr>
          <w:rFonts w:ascii="Arial" w:eastAsia="Calibri" w:hAnsi="Arial" w:cs="Arial"/>
          <w:szCs w:val="24"/>
          <w:u w:val="single"/>
        </w:rPr>
        <w:t>T.i. kopējais tipiskais iepriekšējo trīs gadu marts pret janvāris vidējais pieaugums ir (0,7+0,1+3,5)/3=</w:t>
      </w:r>
      <w:r w:rsidRPr="008C4495">
        <w:rPr>
          <w:rFonts w:ascii="Arial" w:eastAsia="Calibri" w:hAnsi="Arial" w:cs="Arial"/>
          <w:b/>
          <w:bCs/>
          <w:szCs w:val="24"/>
          <w:u w:val="single"/>
        </w:rPr>
        <w:t>1,43</w:t>
      </w:r>
      <w:r w:rsidRPr="008C4495">
        <w:rPr>
          <w:rFonts w:ascii="Arial" w:eastAsia="Calibri" w:hAnsi="Arial" w:cs="Arial"/>
          <w:szCs w:val="24"/>
          <w:u w:val="single"/>
        </w:rPr>
        <w:t>, ar kuru būvniekam vajadzēja rēķināties, iesniedzot piedāvājumu.</w:t>
      </w:r>
    </w:p>
    <w:p w14:paraId="4EADCE38" w14:textId="77777777" w:rsidR="00423DCE" w:rsidRPr="00187CB9" w:rsidRDefault="00423DCE" w:rsidP="00423DCE">
      <w:pPr>
        <w:spacing w:after="160" w:line="259" w:lineRule="auto"/>
        <w:ind w:left="927" w:firstLine="0"/>
        <w:contextualSpacing/>
        <w:rPr>
          <w:rFonts w:ascii="Arial" w:eastAsia="Calibri" w:hAnsi="Arial" w:cs="Arial"/>
          <w:szCs w:val="24"/>
        </w:rPr>
      </w:pPr>
    </w:p>
    <w:p w14:paraId="7CCD1262" w14:textId="77777777" w:rsidR="00423DCE" w:rsidRPr="00187CB9" w:rsidRDefault="00423DCE" w:rsidP="008C4495">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Attiecīgi kopējais pieaugums, kurš tieši raksturo neparedzamo apstākļu iestāšanos, ar ko būvnieki nevarēja rēķināties ir 5,9% mīnus 1,43, jeb </w:t>
      </w:r>
      <w:r w:rsidRPr="00187CB9">
        <w:rPr>
          <w:rFonts w:ascii="Arial" w:eastAsia="Calibri" w:hAnsi="Arial" w:cs="Arial"/>
          <w:b/>
          <w:bCs/>
          <w:szCs w:val="24"/>
        </w:rPr>
        <w:t>4,47%</w:t>
      </w:r>
      <w:r w:rsidRPr="00187CB9">
        <w:rPr>
          <w:rFonts w:ascii="Arial" w:eastAsia="Calibri" w:hAnsi="Arial" w:cs="Arial"/>
          <w:szCs w:val="24"/>
        </w:rPr>
        <w:t>, kuru tad piemēro visu pārējo darbu pozīciju vienības cenu pārrēķinam.</w:t>
      </w:r>
    </w:p>
    <w:p w14:paraId="2D7ED01C" w14:textId="77777777" w:rsidR="008C4495" w:rsidRDefault="008C4495" w:rsidP="008C4495">
      <w:pPr>
        <w:spacing w:after="160" w:line="259" w:lineRule="auto"/>
        <w:ind w:firstLine="0"/>
        <w:contextualSpacing/>
        <w:rPr>
          <w:rFonts w:ascii="Arial" w:eastAsia="Calibri" w:hAnsi="Arial" w:cs="Arial"/>
          <w:szCs w:val="24"/>
        </w:rPr>
      </w:pPr>
    </w:p>
    <w:p w14:paraId="624723D9" w14:textId="4DD63367" w:rsidR="00423DCE" w:rsidRPr="00187CB9" w:rsidRDefault="00423DCE" w:rsidP="008C4495">
      <w:pPr>
        <w:spacing w:after="160" w:line="259" w:lineRule="auto"/>
        <w:ind w:firstLine="0"/>
        <w:contextualSpacing/>
        <w:rPr>
          <w:rFonts w:ascii="Arial" w:eastAsia="Calibri" w:hAnsi="Arial" w:cs="Arial"/>
          <w:szCs w:val="24"/>
        </w:rPr>
      </w:pPr>
      <w:r w:rsidRPr="00187CB9">
        <w:rPr>
          <w:rFonts w:ascii="Arial" w:eastAsia="Calibri" w:hAnsi="Arial" w:cs="Arial"/>
          <w:szCs w:val="24"/>
        </w:rPr>
        <w:t xml:space="preserve">Darba pozīcijām, kurām vienības cena tiks pārskatīta bitumena un tērauda cenas pieauguma ietekme, darba pozīcijas daļa, kas netiek palielināta pēc bitumena un tērauda aprēķina metodes, tiks papildus palielināta piemērojot </w:t>
      </w:r>
      <w:proofErr w:type="spellStart"/>
      <w:r w:rsidRPr="00187CB9">
        <w:rPr>
          <w:rFonts w:ascii="Arial" w:eastAsia="Calibri" w:hAnsi="Arial" w:cs="Arial"/>
          <w:szCs w:val="24"/>
        </w:rPr>
        <w:t>būvizmaksu</w:t>
      </w:r>
      <w:proofErr w:type="spellEnd"/>
      <w:r w:rsidRPr="00187CB9">
        <w:rPr>
          <w:rFonts w:ascii="Arial" w:eastAsia="Calibri" w:hAnsi="Arial" w:cs="Arial"/>
          <w:szCs w:val="24"/>
        </w:rPr>
        <w:t xml:space="preserve"> pieauguma indeksu 4</w:t>
      </w:r>
      <w:r w:rsidR="001B7AB0" w:rsidRPr="00187CB9">
        <w:rPr>
          <w:rFonts w:ascii="Arial" w:eastAsia="Calibri" w:hAnsi="Arial" w:cs="Arial"/>
          <w:szCs w:val="24"/>
        </w:rPr>
        <w:t>,</w:t>
      </w:r>
      <w:r w:rsidRPr="00187CB9">
        <w:rPr>
          <w:rFonts w:ascii="Arial" w:eastAsia="Calibri" w:hAnsi="Arial" w:cs="Arial"/>
          <w:szCs w:val="24"/>
        </w:rPr>
        <w:t>47%</w:t>
      </w:r>
    </w:p>
    <w:p w14:paraId="16A813CB" w14:textId="77777777" w:rsidR="008C4495" w:rsidRDefault="008C4495" w:rsidP="008C4495">
      <w:pPr>
        <w:spacing w:after="160" w:line="259" w:lineRule="auto"/>
        <w:ind w:firstLine="0"/>
        <w:contextualSpacing/>
        <w:rPr>
          <w:rFonts w:ascii="Arial" w:eastAsia="Calibri" w:hAnsi="Arial" w:cs="Arial"/>
          <w:szCs w:val="24"/>
        </w:rPr>
      </w:pPr>
    </w:p>
    <w:p w14:paraId="058E9366" w14:textId="490BFE0E" w:rsidR="00423DCE" w:rsidRPr="008C4495" w:rsidRDefault="00423DCE" w:rsidP="008C4495">
      <w:pPr>
        <w:spacing w:after="160" w:line="259" w:lineRule="auto"/>
        <w:ind w:firstLine="0"/>
        <w:contextualSpacing/>
        <w:rPr>
          <w:rFonts w:ascii="Arial" w:eastAsia="Calibri" w:hAnsi="Arial" w:cs="Arial"/>
          <w:b/>
          <w:bCs/>
          <w:szCs w:val="24"/>
        </w:rPr>
      </w:pPr>
      <w:r w:rsidRPr="008C4495">
        <w:rPr>
          <w:rFonts w:ascii="Arial" w:eastAsia="Calibri" w:hAnsi="Arial" w:cs="Arial"/>
          <w:b/>
          <w:bCs/>
          <w:szCs w:val="24"/>
        </w:rPr>
        <w:t xml:space="preserve">Piemērs </w:t>
      </w:r>
    </w:p>
    <w:p w14:paraId="49B954FE" w14:textId="6C1E3879" w:rsidR="00423DCE" w:rsidRPr="008C4495" w:rsidRDefault="00423DCE" w:rsidP="008C4495">
      <w:pPr>
        <w:spacing w:after="160" w:line="257" w:lineRule="auto"/>
        <w:ind w:firstLine="0"/>
        <w:rPr>
          <w:rFonts w:ascii="Arial" w:eastAsia="Times New Roman" w:hAnsi="Arial" w:cs="Arial"/>
          <w:i/>
          <w:iCs/>
          <w:szCs w:val="24"/>
          <w:u w:val="single"/>
        </w:rPr>
      </w:pPr>
      <w:r w:rsidRPr="008C4495">
        <w:rPr>
          <w:rFonts w:ascii="Arial" w:eastAsia="Times New Roman" w:hAnsi="Arial" w:cs="Arial"/>
          <w:i/>
          <w:iCs/>
          <w:szCs w:val="24"/>
          <w:u w:val="single"/>
        </w:rPr>
        <w:t>Iepriekš veiktais aprēķins par bitumena ietekmi:</w:t>
      </w:r>
    </w:p>
    <w:p w14:paraId="65FE832A" w14:textId="77777777" w:rsidR="00423DCE" w:rsidRPr="00187CB9" w:rsidRDefault="00423DCE" w:rsidP="008C4495">
      <w:pPr>
        <w:spacing w:after="160" w:line="257" w:lineRule="auto"/>
        <w:ind w:firstLine="0"/>
        <w:rPr>
          <w:rFonts w:ascii="Arial" w:eastAsia="Times New Roman" w:hAnsi="Arial" w:cs="Arial"/>
          <w:i/>
          <w:iCs/>
          <w:szCs w:val="24"/>
        </w:rPr>
      </w:pPr>
      <w:r w:rsidRPr="00187CB9">
        <w:rPr>
          <w:rFonts w:ascii="Arial" w:eastAsia="Times New Roman" w:hAnsi="Arial" w:cs="Arial"/>
          <w:i/>
          <w:iCs/>
          <w:szCs w:val="24"/>
        </w:rPr>
        <w:t xml:space="preserve">Pieņemot asfaltbetona AC16 </w:t>
      </w:r>
      <w:proofErr w:type="spellStart"/>
      <w:r w:rsidRPr="00187CB9">
        <w:rPr>
          <w:rFonts w:ascii="Arial" w:eastAsia="Times New Roman" w:hAnsi="Arial" w:cs="Arial"/>
          <w:i/>
          <w:iCs/>
          <w:szCs w:val="24"/>
        </w:rPr>
        <w:t>base</w:t>
      </w:r>
      <w:proofErr w:type="spellEnd"/>
      <w:r w:rsidRPr="00187CB9">
        <w:rPr>
          <w:rFonts w:ascii="Arial" w:eastAsia="Times New Roman" w:hAnsi="Arial" w:cs="Arial"/>
          <w:i/>
          <w:iCs/>
          <w:szCs w:val="24"/>
        </w:rPr>
        <w:t>/</w:t>
      </w:r>
      <w:proofErr w:type="spellStart"/>
      <w:r w:rsidRPr="00187CB9">
        <w:rPr>
          <w:rFonts w:ascii="Arial" w:eastAsia="Times New Roman" w:hAnsi="Arial" w:cs="Arial"/>
          <w:i/>
          <w:iCs/>
          <w:szCs w:val="24"/>
        </w:rPr>
        <w:t>bin</w:t>
      </w:r>
      <w:proofErr w:type="spellEnd"/>
      <w:r w:rsidRPr="00187CB9">
        <w:rPr>
          <w:rFonts w:ascii="Arial" w:eastAsia="Times New Roman" w:hAnsi="Arial" w:cs="Arial"/>
          <w:i/>
          <w:iCs/>
          <w:szCs w:val="24"/>
        </w:rPr>
        <w:t xml:space="preserve"> vienas tonnas ražošanai tiek pielietots 0,042 t bitumena (tiks precizēts atbilstoši konkrētam līgumā paredzētam asfaltbetona tipam), vienības cena vienai tonnai asfaltbetona AC16 </w:t>
      </w:r>
      <w:proofErr w:type="spellStart"/>
      <w:r w:rsidRPr="00187CB9">
        <w:rPr>
          <w:rFonts w:ascii="Arial" w:eastAsia="Times New Roman" w:hAnsi="Arial" w:cs="Arial"/>
          <w:i/>
          <w:iCs/>
          <w:szCs w:val="24"/>
        </w:rPr>
        <w:t>base</w:t>
      </w:r>
      <w:proofErr w:type="spellEnd"/>
      <w:r w:rsidRPr="00187CB9">
        <w:rPr>
          <w:rFonts w:ascii="Arial" w:eastAsia="Times New Roman" w:hAnsi="Arial" w:cs="Arial"/>
          <w:i/>
          <w:iCs/>
          <w:szCs w:val="24"/>
        </w:rPr>
        <w:t>/</w:t>
      </w:r>
      <w:proofErr w:type="spellStart"/>
      <w:r w:rsidRPr="00187CB9">
        <w:rPr>
          <w:rFonts w:ascii="Arial" w:eastAsia="Times New Roman" w:hAnsi="Arial" w:cs="Arial"/>
          <w:i/>
          <w:iCs/>
          <w:szCs w:val="24"/>
        </w:rPr>
        <w:t>bin</w:t>
      </w:r>
      <w:proofErr w:type="spellEnd"/>
      <w:r w:rsidRPr="00187CB9">
        <w:rPr>
          <w:rFonts w:ascii="Arial" w:eastAsia="Times New Roman" w:hAnsi="Arial" w:cs="Arial"/>
          <w:i/>
          <w:iCs/>
          <w:szCs w:val="24"/>
        </w:rPr>
        <w:t xml:space="preserve"> tiek palielināta par 7,71 euro, (183,54*0,042=7,71). </w:t>
      </w:r>
    </w:p>
    <w:p w14:paraId="6FFADBDD" w14:textId="77777777" w:rsidR="00423DCE" w:rsidRPr="008C4495" w:rsidRDefault="00423DCE" w:rsidP="008C4495">
      <w:pPr>
        <w:spacing w:after="160" w:line="259" w:lineRule="auto"/>
        <w:ind w:firstLine="0"/>
        <w:contextualSpacing/>
        <w:rPr>
          <w:rFonts w:ascii="Arial" w:eastAsia="Calibri" w:hAnsi="Arial" w:cs="Arial"/>
          <w:i/>
          <w:iCs/>
          <w:szCs w:val="24"/>
          <w:u w:val="single"/>
        </w:rPr>
      </w:pPr>
      <w:r w:rsidRPr="008C4495">
        <w:rPr>
          <w:rFonts w:ascii="Arial" w:eastAsia="Calibri" w:hAnsi="Arial" w:cs="Arial"/>
          <w:i/>
          <w:iCs/>
          <w:szCs w:val="24"/>
          <w:u w:val="single"/>
        </w:rPr>
        <w:t xml:space="preserve">Papildus darba daļas indeksēšana: </w:t>
      </w:r>
    </w:p>
    <w:p w14:paraId="05D1A5EC" w14:textId="77777777" w:rsidR="00423DCE" w:rsidRPr="00187CB9" w:rsidRDefault="00423DCE" w:rsidP="00423DCE">
      <w:pPr>
        <w:spacing w:after="160" w:line="259" w:lineRule="auto"/>
        <w:contextualSpacing/>
        <w:rPr>
          <w:rFonts w:ascii="Arial" w:eastAsia="Calibri" w:hAnsi="Arial" w:cs="Arial"/>
          <w:i/>
          <w:iCs/>
          <w:szCs w:val="24"/>
        </w:rPr>
      </w:pPr>
    </w:p>
    <w:p w14:paraId="56D7134B" w14:textId="62EB7725" w:rsidR="00423DCE" w:rsidRPr="00187CB9" w:rsidRDefault="00423DCE" w:rsidP="008C4495">
      <w:pPr>
        <w:spacing w:after="160" w:line="259" w:lineRule="auto"/>
        <w:ind w:firstLine="0"/>
        <w:contextualSpacing/>
        <w:rPr>
          <w:rFonts w:ascii="Arial" w:eastAsia="Calibri" w:hAnsi="Arial" w:cs="Arial"/>
          <w:i/>
          <w:iCs/>
          <w:szCs w:val="24"/>
        </w:rPr>
      </w:pPr>
      <w:r w:rsidRPr="00187CB9">
        <w:rPr>
          <w:rFonts w:ascii="Arial" w:eastAsia="Calibri" w:hAnsi="Arial" w:cs="Arial"/>
          <w:i/>
          <w:iCs/>
          <w:szCs w:val="24"/>
        </w:rPr>
        <w:t xml:space="preserve">Bitumena cena vienā tonnā AC16 </w:t>
      </w:r>
      <w:proofErr w:type="spellStart"/>
      <w:r w:rsidRPr="00187CB9">
        <w:rPr>
          <w:rFonts w:ascii="Arial" w:eastAsia="Calibri" w:hAnsi="Arial" w:cs="Arial"/>
          <w:i/>
          <w:iCs/>
          <w:szCs w:val="24"/>
        </w:rPr>
        <w:t>base</w:t>
      </w:r>
      <w:proofErr w:type="spellEnd"/>
      <w:r w:rsidRPr="00187CB9">
        <w:rPr>
          <w:rFonts w:ascii="Arial" w:eastAsia="Calibri" w:hAnsi="Arial" w:cs="Arial"/>
          <w:i/>
          <w:iCs/>
          <w:szCs w:val="24"/>
        </w:rPr>
        <w:t>/</w:t>
      </w:r>
      <w:proofErr w:type="spellStart"/>
      <w:r w:rsidRPr="00187CB9">
        <w:rPr>
          <w:rFonts w:ascii="Arial" w:eastAsia="Calibri" w:hAnsi="Arial" w:cs="Arial"/>
          <w:i/>
          <w:iCs/>
          <w:szCs w:val="24"/>
        </w:rPr>
        <w:t>bin</w:t>
      </w:r>
      <w:proofErr w:type="spellEnd"/>
      <w:r w:rsidRPr="00187CB9">
        <w:rPr>
          <w:rFonts w:ascii="Arial" w:eastAsia="Calibri" w:hAnsi="Arial" w:cs="Arial"/>
          <w:i/>
          <w:iCs/>
          <w:szCs w:val="24"/>
        </w:rPr>
        <w:t xml:space="preserve"> pie bāzes cenas 471,31 euro ir 19,80 euro (0,042t*471,31=19,80 euro). Pieņemot, ka vienības cena līgumā AC16 </w:t>
      </w:r>
      <w:proofErr w:type="spellStart"/>
      <w:r w:rsidRPr="00187CB9">
        <w:rPr>
          <w:rFonts w:ascii="Arial" w:eastAsia="Calibri" w:hAnsi="Arial" w:cs="Arial"/>
          <w:i/>
          <w:iCs/>
          <w:szCs w:val="24"/>
        </w:rPr>
        <w:t>base</w:t>
      </w:r>
      <w:proofErr w:type="spellEnd"/>
      <w:r w:rsidRPr="00187CB9">
        <w:rPr>
          <w:rFonts w:ascii="Arial" w:eastAsia="Calibri" w:hAnsi="Arial" w:cs="Arial"/>
          <w:i/>
          <w:iCs/>
          <w:szCs w:val="24"/>
        </w:rPr>
        <w:t>/</w:t>
      </w:r>
      <w:proofErr w:type="spellStart"/>
      <w:r w:rsidRPr="00187CB9">
        <w:rPr>
          <w:rFonts w:ascii="Arial" w:eastAsia="Calibri" w:hAnsi="Arial" w:cs="Arial"/>
          <w:i/>
          <w:iCs/>
          <w:szCs w:val="24"/>
        </w:rPr>
        <w:t>bin</w:t>
      </w:r>
      <w:proofErr w:type="spellEnd"/>
      <w:r w:rsidRPr="00187CB9">
        <w:rPr>
          <w:rFonts w:ascii="Arial" w:eastAsia="Calibri" w:hAnsi="Arial" w:cs="Arial"/>
          <w:i/>
          <w:iCs/>
          <w:szCs w:val="24"/>
        </w:rPr>
        <w:t xml:space="preserve"> cena 50,0 </w:t>
      </w:r>
      <w:proofErr w:type="spellStart"/>
      <w:r w:rsidRPr="00187CB9">
        <w:rPr>
          <w:rFonts w:ascii="Arial" w:eastAsia="Calibri" w:hAnsi="Arial" w:cs="Arial"/>
          <w:i/>
          <w:iCs/>
          <w:szCs w:val="24"/>
        </w:rPr>
        <w:t>euro</w:t>
      </w:r>
      <w:proofErr w:type="spellEnd"/>
      <w:r w:rsidRPr="00187CB9">
        <w:rPr>
          <w:rFonts w:ascii="Arial" w:eastAsia="Calibri" w:hAnsi="Arial" w:cs="Arial"/>
          <w:i/>
          <w:iCs/>
          <w:szCs w:val="24"/>
        </w:rPr>
        <w:t>/t, indeksējamā darba daļa ir 30,80 euro (50,0-19,80= 30,20 euro), kas sastāda papildus sadārdzinājumu 1</w:t>
      </w:r>
      <w:r w:rsidR="00CF7485" w:rsidRPr="00187CB9">
        <w:rPr>
          <w:rFonts w:ascii="Arial" w:eastAsia="Calibri" w:hAnsi="Arial" w:cs="Arial"/>
          <w:i/>
          <w:iCs/>
          <w:szCs w:val="24"/>
        </w:rPr>
        <w:t>,</w:t>
      </w:r>
      <w:r w:rsidRPr="00187CB9">
        <w:rPr>
          <w:rFonts w:ascii="Arial" w:eastAsia="Calibri" w:hAnsi="Arial" w:cs="Arial"/>
          <w:i/>
          <w:iCs/>
          <w:szCs w:val="24"/>
        </w:rPr>
        <w:t>34 euro (30.20*4</w:t>
      </w:r>
      <w:r w:rsidR="00CF7485" w:rsidRPr="00187CB9">
        <w:rPr>
          <w:rFonts w:ascii="Arial" w:eastAsia="Calibri" w:hAnsi="Arial" w:cs="Arial"/>
          <w:i/>
          <w:iCs/>
          <w:szCs w:val="24"/>
        </w:rPr>
        <w:t>,</w:t>
      </w:r>
      <w:r w:rsidRPr="00187CB9">
        <w:rPr>
          <w:rFonts w:ascii="Arial" w:eastAsia="Calibri" w:hAnsi="Arial" w:cs="Arial"/>
          <w:i/>
          <w:iCs/>
          <w:szCs w:val="24"/>
        </w:rPr>
        <w:t xml:space="preserve">47%). </w:t>
      </w:r>
    </w:p>
    <w:p w14:paraId="140C05CE" w14:textId="77777777" w:rsidR="00423DCE" w:rsidRPr="00187CB9" w:rsidRDefault="00423DCE" w:rsidP="00423DCE">
      <w:pPr>
        <w:spacing w:after="160" w:line="259" w:lineRule="auto"/>
        <w:contextualSpacing/>
        <w:rPr>
          <w:rFonts w:ascii="Arial" w:eastAsia="Calibri" w:hAnsi="Arial" w:cs="Arial"/>
          <w:i/>
          <w:iCs/>
          <w:szCs w:val="24"/>
        </w:rPr>
      </w:pPr>
    </w:p>
    <w:p w14:paraId="2C477658" w14:textId="21DBC962" w:rsidR="00423DCE" w:rsidRPr="00187CB9" w:rsidRDefault="00423DCE" w:rsidP="008C4495">
      <w:pPr>
        <w:spacing w:after="160" w:line="259" w:lineRule="auto"/>
        <w:ind w:firstLine="0"/>
        <w:contextualSpacing/>
        <w:rPr>
          <w:rFonts w:ascii="Arial" w:eastAsia="Calibri" w:hAnsi="Arial" w:cs="Arial"/>
          <w:i/>
          <w:iCs/>
          <w:szCs w:val="24"/>
        </w:rPr>
      </w:pPr>
      <w:r w:rsidRPr="00187CB9">
        <w:rPr>
          <w:rFonts w:ascii="Arial" w:eastAsia="Calibri" w:hAnsi="Arial" w:cs="Arial"/>
          <w:i/>
          <w:iCs/>
          <w:szCs w:val="24"/>
        </w:rPr>
        <w:t xml:space="preserve">Kopējais cenu palielinājums AC16 </w:t>
      </w:r>
      <w:proofErr w:type="spellStart"/>
      <w:r w:rsidRPr="00187CB9">
        <w:rPr>
          <w:rFonts w:ascii="Arial" w:eastAsia="Calibri" w:hAnsi="Arial" w:cs="Arial"/>
          <w:i/>
          <w:iCs/>
          <w:szCs w:val="24"/>
        </w:rPr>
        <w:t>base</w:t>
      </w:r>
      <w:proofErr w:type="spellEnd"/>
      <w:r w:rsidRPr="00187CB9">
        <w:rPr>
          <w:rFonts w:ascii="Arial" w:eastAsia="Calibri" w:hAnsi="Arial" w:cs="Arial"/>
          <w:i/>
          <w:iCs/>
          <w:szCs w:val="24"/>
        </w:rPr>
        <w:t>/</w:t>
      </w:r>
      <w:proofErr w:type="spellStart"/>
      <w:r w:rsidRPr="00187CB9">
        <w:rPr>
          <w:rFonts w:ascii="Arial" w:eastAsia="Calibri" w:hAnsi="Arial" w:cs="Arial"/>
          <w:i/>
          <w:iCs/>
          <w:szCs w:val="24"/>
        </w:rPr>
        <w:t>bin</w:t>
      </w:r>
      <w:proofErr w:type="spellEnd"/>
      <w:r w:rsidRPr="00187CB9">
        <w:rPr>
          <w:rFonts w:ascii="Arial" w:eastAsia="Calibri" w:hAnsi="Arial" w:cs="Arial"/>
          <w:i/>
          <w:iCs/>
          <w:szCs w:val="24"/>
        </w:rPr>
        <w:t xml:space="preserve"> =9.05 </w:t>
      </w:r>
      <w:proofErr w:type="spellStart"/>
      <w:r w:rsidRPr="00187CB9">
        <w:rPr>
          <w:rFonts w:ascii="Arial" w:eastAsia="Calibri" w:hAnsi="Arial" w:cs="Arial"/>
          <w:i/>
          <w:iCs/>
          <w:szCs w:val="24"/>
        </w:rPr>
        <w:t>euro</w:t>
      </w:r>
      <w:proofErr w:type="spellEnd"/>
      <w:r w:rsidRPr="00187CB9">
        <w:rPr>
          <w:rFonts w:ascii="Arial" w:eastAsia="Calibri" w:hAnsi="Arial" w:cs="Arial"/>
          <w:i/>
          <w:iCs/>
          <w:szCs w:val="24"/>
        </w:rPr>
        <w:t xml:space="preserve"> (7</w:t>
      </w:r>
      <w:r w:rsidR="00CF7485" w:rsidRPr="00187CB9">
        <w:rPr>
          <w:rFonts w:ascii="Arial" w:eastAsia="Calibri" w:hAnsi="Arial" w:cs="Arial"/>
          <w:i/>
          <w:iCs/>
          <w:szCs w:val="24"/>
        </w:rPr>
        <w:t>,</w:t>
      </w:r>
      <w:r w:rsidRPr="00187CB9">
        <w:rPr>
          <w:rFonts w:ascii="Arial" w:eastAsia="Calibri" w:hAnsi="Arial" w:cs="Arial"/>
          <w:i/>
          <w:iCs/>
          <w:szCs w:val="24"/>
        </w:rPr>
        <w:t>71+1</w:t>
      </w:r>
      <w:r w:rsidR="00CF7485" w:rsidRPr="00187CB9">
        <w:rPr>
          <w:rFonts w:ascii="Arial" w:eastAsia="Calibri" w:hAnsi="Arial" w:cs="Arial"/>
          <w:i/>
          <w:iCs/>
          <w:szCs w:val="24"/>
        </w:rPr>
        <w:t>,</w:t>
      </w:r>
      <w:r w:rsidRPr="00187CB9">
        <w:rPr>
          <w:rFonts w:ascii="Arial" w:eastAsia="Calibri" w:hAnsi="Arial" w:cs="Arial"/>
          <w:i/>
          <w:iCs/>
          <w:szCs w:val="24"/>
        </w:rPr>
        <w:t xml:space="preserve">34), </w:t>
      </w:r>
    </w:p>
    <w:p w14:paraId="4C93E4E3" w14:textId="77777777" w:rsidR="00423DCE" w:rsidRPr="00187CB9" w:rsidRDefault="00423DCE" w:rsidP="008C4495">
      <w:pPr>
        <w:spacing w:after="160" w:line="259" w:lineRule="auto"/>
        <w:ind w:firstLine="0"/>
        <w:contextualSpacing/>
        <w:rPr>
          <w:rFonts w:ascii="Arial" w:eastAsia="Calibri" w:hAnsi="Arial" w:cs="Arial"/>
          <w:i/>
          <w:iCs/>
          <w:szCs w:val="24"/>
        </w:rPr>
      </w:pPr>
      <w:r w:rsidRPr="00187CB9">
        <w:rPr>
          <w:rFonts w:ascii="Arial" w:eastAsia="Calibri" w:hAnsi="Arial" w:cs="Arial"/>
          <w:i/>
          <w:iCs/>
          <w:szCs w:val="24"/>
        </w:rPr>
        <w:t xml:space="preserve">Pārskatītā vienības cena pozīcijai AC16 </w:t>
      </w:r>
      <w:proofErr w:type="spellStart"/>
      <w:r w:rsidRPr="00187CB9">
        <w:rPr>
          <w:rFonts w:ascii="Arial" w:eastAsia="Calibri" w:hAnsi="Arial" w:cs="Arial"/>
          <w:i/>
          <w:iCs/>
          <w:szCs w:val="24"/>
        </w:rPr>
        <w:t>base</w:t>
      </w:r>
      <w:proofErr w:type="spellEnd"/>
      <w:r w:rsidRPr="00187CB9">
        <w:rPr>
          <w:rFonts w:ascii="Arial" w:eastAsia="Calibri" w:hAnsi="Arial" w:cs="Arial"/>
          <w:i/>
          <w:iCs/>
          <w:szCs w:val="24"/>
        </w:rPr>
        <w:t>/</w:t>
      </w:r>
      <w:proofErr w:type="spellStart"/>
      <w:r w:rsidRPr="00187CB9">
        <w:rPr>
          <w:rFonts w:ascii="Arial" w:eastAsia="Calibri" w:hAnsi="Arial" w:cs="Arial"/>
          <w:i/>
          <w:iCs/>
          <w:szCs w:val="24"/>
        </w:rPr>
        <w:t>bin</w:t>
      </w:r>
      <w:proofErr w:type="spellEnd"/>
      <w:r w:rsidRPr="00187CB9">
        <w:rPr>
          <w:rFonts w:ascii="Arial" w:eastAsia="Calibri" w:hAnsi="Arial" w:cs="Arial"/>
          <w:i/>
          <w:iCs/>
          <w:szCs w:val="24"/>
        </w:rPr>
        <w:t xml:space="preserve"> </w:t>
      </w:r>
      <w:r w:rsidRPr="00187CB9">
        <w:rPr>
          <w:rFonts w:ascii="Arial" w:eastAsia="Calibri" w:hAnsi="Arial" w:cs="Arial"/>
          <w:b/>
          <w:bCs/>
          <w:i/>
          <w:iCs/>
          <w:szCs w:val="24"/>
        </w:rPr>
        <w:t xml:space="preserve">59.05 </w:t>
      </w:r>
      <w:proofErr w:type="spellStart"/>
      <w:r w:rsidRPr="00187CB9">
        <w:rPr>
          <w:rFonts w:ascii="Arial" w:eastAsia="Calibri" w:hAnsi="Arial" w:cs="Arial"/>
          <w:b/>
          <w:bCs/>
          <w:i/>
          <w:iCs/>
          <w:szCs w:val="24"/>
        </w:rPr>
        <w:t>euro</w:t>
      </w:r>
      <w:proofErr w:type="spellEnd"/>
      <w:r w:rsidRPr="00187CB9">
        <w:rPr>
          <w:rFonts w:ascii="Arial" w:eastAsia="Calibri" w:hAnsi="Arial" w:cs="Arial"/>
          <w:b/>
          <w:bCs/>
          <w:i/>
          <w:iCs/>
          <w:szCs w:val="24"/>
        </w:rPr>
        <w:t>/t</w:t>
      </w:r>
      <w:r w:rsidRPr="00187CB9">
        <w:rPr>
          <w:rFonts w:ascii="Arial" w:eastAsia="Calibri" w:hAnsi="Arial" w:cs="Arial"/>
          <w:i/>
          <w:iCs/>
          <w:szCs w:val="24"/>
        </w:rPr>
        <w:t xml:space="preserve"> (50+9,05) </w:t>
      </w:r>
    </w:p>
    <w:p w14:paraId="60C0A6EA" w14:textId="77777777" w:rsidR="00423DCE" w:rsidRPr="00187CB9" w:rsidRDefault="00423DCE" w:rsidP="00423DCE">
      <w:pPr>
        <w:spacing w:after="160" w:line="259" w:lineRule="auto"/>
        <w:contextualSpacing/>
        <w:rPr>
          <w:rFonts w:ascii="Arial" w:eastAsia="Calibri" w:hAnsi="Arial" w:cs="Arial"/>
          <w:szCs w:val="24"/>
        </w:rPr>
      </w:pPr>
    </w:p>
    <w:p w14:paraId="59D03FAA" w14:textId="77777777" w:rsidR="00423DCE" w:rsidRPr="00187CB9" w:rsidRDefault="00423DCE" w:rsidP="00423DCE">
      <w:pPr>
        <w:widowControl w:val="0"/>
        <w:autoSpaceDE w:val="0"/>
        <w:autoSpaceDN w:val="0"/>
        <w:adjustRightInd w:val="0"/>
        <w:ind w:firstLine="0"/>
        <w:rPr>
          <w:rFonts w:ascii="Arial" w:eastAsia="Times New Roman" w:hAnsi="Arial" w:cs="Arial"/>
          <w:iCs/>
          <w:szCs w:val="24"/>
        </w:rPr>
      </w:pPr>
    </w:p>
    <w:p w14:paraId="36D08F83" w14:textId="4F8AD427" w:rsidR="00DE70EE" w:rsidRPr="008C4495" w:rsidRDefault="00423DCE" w:rsidP="008C4495">
      <w:pPr>
        <w:spacing w:after="160" w:line="256" w:lineRule="auto"/>
        <w:ind w:firstLine="0"/>
        <w:contextualSpacing/>
        <w:rPr>
          <w:rFonts w:ascii="Arial" w:eastAsia="Calibri" w:hAnsi="Arial" w:cs="Arial"/>
          <w:szCs w:val="24"/>
        </w:rPr>
      </w:pPr>
      <w:r w:rsidRPr="00187CB9">
        <w:rPr>
          <w:rFonts w:ascii="Arial" w:eastAsia="Times New Roman" w:hAnsi="Arial" w:cs="Arial"/>
          <w:iCs/>
          <w:szCs w:val="24"/>
        </w:rPr>
        <w:t xml:space="preserve">Līguma vienības cenu pārskatīšana tiks veikta un grozījumi </w:t>
      </w:r>
      <w:r w:rsidR="001819EF" w:rsidRPr="00187CB9">
        <w:rPr>
          <w:rFonts w:ascii="Arial" w:eastAsia="Times New Roman" w:hAnsi="Arial" w:cs="Arial"/>
          <w:iCs/>
          <w:szCs w:val="24"/>
        </w:rPr>
        <w:t xml:space="preserve">sagatavoti </w:t>
      </w:r>
      <w:r w:rsidRPr="00187CB9">
        <w:rPr>
          <w:rFonts w:ascii="Arial" w:eastAsia="Times New Roman" w:hAnsi="Arial" w:cs="Arial"/>
          <w:iCs/>
          <w:szCs w:val="24"/>
        </w:rPr>
        <w:t xml:space="preserve">līgumiem, kam piedāvājumi atvērti līdz š.g. 24. februārim, un tiks piemērota darbiem, kas veikti pēc šī gada 1.aprīļa. </w:t>
      </w:r>
      <w:r w:rsidR="009B0A1E" w:rsidRPr="00187CB9">
        <w:rPr>
          <w:rFonts w:ascii="Arial" w:eastAsia="Times New Roman" w:hAnsi="Arial" w:cs="Arial"/>
          <w:iCs/>
          <w:szCs w:val="24"/>
        </w:rPr>
        <w:t>K</w:t>
      </w:r>
      <w:r w:rsidR="009B0A1E" w:rsidRPr="00187CB9">
        <w:rPr>
          <w:rFonts w:ascii="Arial" w:hAnsi="Arial" w:cs="Arial"/>
          <w:szCs w:val="24"/>
          <w:lang w:bidi="lv-LV"/>
        </w:rPr>
        <w:t xml:space="preserve">opējais līgumcenas pieaugums attiecībā pret sākotnēji noslēgto līgumcenu nesasniegs 15%. </w:t>
      </w:r>
      <w:r w:rsidR="009B0A1E" w:rsidRPr="00187CB9">
        <w:rPr>
          <w:rFonts w:ascii="Arial" w:hAnsi="Arial" w:cs="Arial"/>
          <w:color w:val="242424"/>
          <w:szCs w:val="24"/>
          <w:shd w:val="clear" w:color="auto" w:fill="FFFFFF"/>
        </w:rPr>
        <w:t>Gadījumā, ja faktiskais izmaksu pieaugums ir lielāks, tad tas prioritāri tiek segts šādā kārtībā līdz 15% līmenim</w:t>
      </w:r>
      <w:r w:rsidR="009B0A1E" w:rsidRPr="00187CB9">
        <w:rPr>
          <w:rFonts w:ascii="Arial" w:eastAsia="Calibri" w:hAnsi="Arial" w:cs="Arial"/>
          <w:szCs w:val="24"/>
        </w:rPr>
        <w:t xml:space="preserve">: vispirms tiek segta bitumena cenas izmaiņu ietekmētās </w:t>
      </w:r>
      <w:r w:rsidR="009B0A1E" w:rsidRPr="00187CB9">
        <w:rPr>
          <w:rFonts w:ascii="Arial" w:eastAsia="Calibri" w:hAnsi="Arial" w:cs="Arial"/>
          <w:szCs w:val="24"/>
        </w:rPr>
        <w:lastRenderedPageBreak/>
        <w:t>pozīcijas, pēc tam tiek segtas tērauda cenu izmaiņas ietekmētās pozīcijas un tikai pēc tam tiek segtas pārējās pozīcijas vienādā attiecībā.</w:t>
      </w:r>
      <w:bookmarkEnd w:id="0"/>
    </w:p>
    <w:sectPr w:rsidR="00DE70EE" w:rsidRPr="008C4495" w:rsidSect="00D442AF">
      <w:headerReference w:type="default" r:id="rId10"/>
      <w:footerReference w:type="default" r:id="rId11"/>
      <w:headerReference w:type="first" r:id="rId12"/>
      <w:pgSz w:w="11906" w:h="16838"/>
      <w:pgMar w:top="1134"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6C45" w14:textId="77777777" w:rsidR="00A15563" w:rsidRDefault="00A15563" w:rsidP="00437C2F">
      <w:r>
        <w:separator/>
      </w:r>
    </w:p>
  </w:endnote>
  <w:endnote w:type="continuationSeparator" w:id="0">
    <w:p w14:paraId="3F0A9DFF" w14:textId="77777777" w:rsidR="00A15563" w:rsidRDefault="00A15563" w:rsidP="004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72725"/>
      <w:docPartObj>
        <w:docPartGallery w:val="Page Numbers (Bottom of Page)"/>
        <w:docPartUnique/>
      </w:docPartObj>
    </w:sdtPr>
    <w:sdtEndPr/>
    <w:sdtContent>
      <w:p w14:paraId="0698BD13" w14:textId="325DA327" w:rsidR="00D442AF" w:rsidRDefault="00D442AF">
        <w:pPr>
          <w:pStyle w:val="Kjene"/>
          <w:jc w:val="right"/>
        </w:pPr>
        <w:r>
          <w:fldChar w:fldCharType="begin"/>
        </w:r>
        <w:r>
          <w:instrText>PAGE   \* MERGEFORMAT</w:instrText>
        </w:r>
        <w:r>
          <w:fldChar w:fldCharType="separate"/>
        </w:r>
        <w:r>
          <w:t>2</w:t>
        </w:r>
        <w:r>
          <w:fldChar w:fldCharType="end"/>
        </w:r>
      </w:p>
    </w:sdtContent>
  </w:sdt>
  <w:p w14:paraId="31F7F01E" w14:textId="77777777" w:rsidR="00997F6B" w:rsidRDefault="00997F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415C" w14:textId="77777777" w:rsidR="00A15563" w:rsidRDefault="00A15563" w:rsidP="00437C2F">
      <w:r>
        <w:separator/>
      </w:r>
    </w:p>
  </w:footnote>
  <w:footnote w:type="continuationSeparator" w:id="0">
    <w:p w14:paraId="0282C8F7" w14:textId="77777777" w:rsidR="00A15563" w:rsidRDefault="00A15563" w:rsidP="00437C2F">
      <w:r>
        <w:continuationSeparator/>
      </w:r>
    </w:p>
  </w:footnote>
  <w:footnote w:id="1">
    <w:p w14:paraId="796CED91" w14:textId="77777777" w:rsidR="00423DCE" w:rsidRPr="00275E8A" w:rsidRDefault="00423DCE" w:rsidP="00423DCE">
      <w:pPr>
        <w:pStyle w:val="Vresteksts"/>
        <w:rPr>
          <w:rFonts w:ascii="Times New Roman" w:hAnsi="Times New Roman" w:cs="Times New Roman"/>
        </w:rPr>
      </w:pPr>
      <w:r w:rsidRPr="00275E8A">
        <w:rPr>
          <w:rStyle w:val="Vresatsauce"/>
        </w:rPr>
        <w:footnoteRef/>
      </w:r>
      <w:r w:rsidRPr="00275E8A">
        <w:rPr>
          <w:rFonts w:ascii="Times New Roman" w:hAnsi="Times New Roman" w:cs="Times New Roman"/>
        </w:rPr>
        <w:t xml:space="preserve"> </w:t>
      </w:r>
      <w:hyperlink r:id="rId1" w:history="1">
        <w:r w:rsidRPr="00275E8A">
          <w:rPr>
            <w:rStyle w:val="Hipersaite"/>
            <w:rFonts w:ascii="Times New Roman" w:hAnsi="Times New Roman" w:cs="Times New Roman"/>
          </w:rPr>
          <w:t xml:space="preserve">Būvniecības izmaksu indeksi un pārmaiņas objektu grupās 2010M01 - 2022M03. </w:t>
        </w:r>
        <w:proofErr w:type="spellStart"/>
        <w:r w:rsidRPr="00275E8A">
          <w:rPr>
            <w:rStyle w:val="Hipersaite"/>
            <w:rFonts w:ascii="Times New Roman" w:hAnsi="Times New Roman" w:cs="Times New Roman"/>
          </w:rPr>
          <w:t>PxWeb</w:t>
        </w:r>
        <w:proofErr w:type="spellEnd"/>
        <w:r w:rsidRPr="00275E8A">
          <w:rPr>
            <w:rStyle w:val="Hipersaite"/>
            <w:rFonts w:ascii="Times New Roman" w:hAnsi="Times New Roman" w:cs="Times New Roman"/>
          </w:rPr>
          <w:t xml:space="preserve"> (stat.gov.lv)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EAE" w14:textId="0EC4B220" w:rsidR="00437C2F" w:rsidRDefault="00437C2F" w:rsidP="00CC3F7F">
    <w:pPr>
      <w:pStyle w:val="Galvene"/>
      <w:ind w:left="-1134"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26D" w14:textId="5AB33B30" w:rsidR="00CC3F7F" w:rsidRDefault="00CC3F7F" w:rsidP="005200A0">
    <w:pPr>
      <w:pStyle w:val="Galvene"/>
      <w:ind w:left="-113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ED"/>
    <w:multiLevelType w:val="hybridMultilevel"/>
    <w:tmpl w:val="8C88A982"/>
    <w:lvl w:ilvl="0" w:tplc="04260003">
      <w:start w:val="1"/>
      <w:numFmt w:val="bullet"/>
      <w:lvlText w:val="o"/>
      <w:lvlJc w:val="left"/>
      <w:pPr>
        <w:ind w:left="2367" w:hanging="360"/>
      </w:pPr>
      <w:rPr>
        <w:rFonts w:ascii="Courier New" w:hAnsi="Courier New" w:cs="Courier New" w:hint="default"/>
      </w:rPr>
    </w:lvl>
    <w:lvl w:ilvl="1" w:tplc="04260003" w:tentative="1">
      <w:start w:val="1"/>
      <w:numFmt w:val="bullet"/>
      <w:lvlText w:val="o"/>
      <w:lvlJc w:val="left"/>
      <w:pPr>
        <w:ind w:left="3087" w:hanging="360"/>
      </w:pPr>
      <w:rPr>
        <w:rFonts w:ascii="Courier New" w:hAnsi="Courier New" w:cs="Courier New" w:hint="default"/>
      </w:rPr>
    </w:lvl>
    <w:lvl w:ilvl="2" w:tplc="04260005" w:tentative="1">
      <w:start w:val="1"/>
      <w:numFmt w:val="bullet"/>
      <w:lvlText w:val=""/>
      <w:lvlJc w:val="left"/>
      <w:pPr>
        <w:ind w:left="3807" w:hanging="360"/>
      </w:pPr>
      <w:rPr>
        <w:rFonts w:ascii="Wingdings" w:hAnsi="Wingdings" w:hint="default"/>
      </w:rPr>
    </w:lvl>
    <w:lvl w:ilvl="3" w:tplc="04260001" w:tentative="1">
      <w:start w:val="1"/>
      <w:numFmt w:val="bullet"/>
      <w:lvlText w:val=""/>
      <w:lvlJc w:val="left"/>
      <w:pPr>
        <w:ind w:left="4527" w:hanging="360"/>
      </w:pPr>
      <w:rPr>
        <w:rFonts w:ascii="Symbol" w:hAnsi="Symbol" w:hint="default"/>
      </w:rPr>
    </w:lvl>
    <w:lvl w:ilvl="4" w:tplc="04260003" w:tentative="1">
      <w:start w:val="1"/>
      <w:numFmt w:val="bullet"/>
      <w:lvlText w:val="o"/>
      <w:lvlJc w:val="left"/>
      <w:pPr>
        <w:ind w:left="5247" w:hanging="360"/>
      </w:pPr>
      <w:rPr>
        <w:rFonts w:ascii="Courier New" w:hAnsi="Courier New" w:cs="Courier New" w:hint="default"/>
      </w:rPr>
    </w:lvl>
    <w:lvl w:ilvl="5" w:tplc="04260005" w:tentative="1">
      <w:start w:val="1"/>
      <w:numFmt w:val="bullet"/>
      <w:lvlText w:val=""/>
      <w:lvlJc w:val="left"/>
      <w:pPr>
        <w:ind w:left="5967" w:hanging="360"/>
      </w:pPr>
      <w:rPr>
        <w:rFonts w:ascii="Wingdings" w:hAnsi="Wingdings" w:hint="default"/>
      </w:rPr>
    </w:lvl>
    <w:lvl w:ilvl="6" w:tplc="04260001" w:tentative="1">
      <w:start w:val="1"/>
      <w:numFmt w:val="bullet"/>
      <w:lvlText w:val=""/>
      <w:lvlJc w:val="left"/>
      <w:pPr>
        <w:ind w:left="6687" w:hanging="360"/>
      </w:pPr>
      <w:rPr>
        <w:rFonts w:ascii="Symbol" w:hAnsi="Symbol" w:hint="default"/>
      </w:rPr>
    </w:lvl>
    <w:lvl w:ilvl="7" w:tplc="04260003" w:tentative="1">
      <w:start w:val="1"/>
      <w:numFmt w:val="bullet"/>
      <w:lvlText w:val="o"/>
      <w:lvlJc w:val="left"/>
      <w:pPr>
        <w:ind w:left="7407" w:hanging="360"/>
      </w:pPr>
      <w:rPr>
        <w:rFonts w:ascii="Courier New" w:hAnsi="Courier New" w:cs="Courier New" w:hint="default"/>
      </w:rPr>
    </w:lvl>
    <w:lvl w:ilvl="8" w:tplc="04260005" w:tentative="1">
      <w:start w:val="1"/>
      <w:numFmt w:val="bullet"/>
      <w:lvlText w:val=""/>
      <w:lvlJc w:val="left"/>
      <w:pPr>
        <w:ind w:left="8127" w:hanging="360"/>
      </w:pPr>
      <w:rPr>
        <w:rFonts w:ascii="Wingdings" w:hAnsi="Wingdings" w:hint="default"/>
      </w:rPr>
    </w:lvl>
  </w:abstractNum>
  <w:abstractNum w:abstractNumId="1" w15:restartNumberingAfterBreak="0">
    <w:nsid w:val="689A2F3D"/>
    <w:multiLevelType w:val="hybridMultilevel"/>
    <w:tmpl w:val="E2928DE6"/>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 w15:restartNumberingAfterBreak="0">
    <w:nsid w:val="77387ACF"/>
    <w:multiLevelType w:val="hybridMultilevel"/>
    <w:tmpl w:val="329A8C7E"/>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 w15:restartNumberingAfterBreak="0">
    <w:nsid w:val="775C494B"/>
    <w:multiLevelType w:val="hybridMultilevel"/>
    <w:tmpl w:val="2856E4F8"/>
    <w:lvl w:ilvl="0" w:tplc="4282E7D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658990989">
    <w:abstractNumId w:val="3"/>
  </w:num>
  <w:num w:numId="2" w16cid:durableId="2030177183">
    <w:abstractNumId w:val="2"/>
  </w:num>
  <w:num w:numId="3" w16cid:durableId="1396855799">
    <w:abstractNumId w:val="1"/>
  </w:num>
  <w:num w:numId="4" w16cid:durableId="115114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2F"/>
    <w:rsid w:val="00004AD6"/>
    <w:rsid w:val="00011B84"/>
    <w:rsid w:val="00026C96"/>
    <w:rsid w:val="00031D93"/>
    <w:rsid w:val="000428E1"/>
    <w:rsid w:val="00046698"/>
    <w:rsid w:val="00047A33"/>
    <w:rsid w:val="000678CA"/>
    <w:rsid w:val="0007000E"/>
    <w:rsid w:val="00085CD0"/>
    <w:rsid w:val="000A6AB9"/>
    <w:rsid w:val="000B4303"/>
    <w:rsid w:val="000D6F99"/>
    <w:rsid w:val="000E77DF"/>
    <w:rsid w:val="0010142E"/>
    <w:rsid w:val="001065FA"/>
    <w:rsid w:val="00121FE0"/>
    <w:rsid w:val="001468EE"/>
    <w:rsid w:val="001475CD"/>
    <w:rsid w:val="00150BB8"/>
    <w:rsid w:val="001623D5"/>
    <w:rsid w:val="0018118D"/>
    <w:rsid w:val="001819EF"/>
    <w:rsid w:val="001822F4"/>
    <w:rsid w:val="00187CB9"/>
    <w:rsid w:val="00191755"/>
    <w:rsid w:val="001948A0"/>
    <w:rsid w:val="001B5274"/>
    <w:rsid w:val="001B7AB0"/>
    <w:rsid w:val="001D25F7"/>
    <w:rsid w:val="001E790A"/>
    <w:rsid w:val="001F21F8"/>
    <w:rsid w:val="001F266D"/>
    <w:rsid w:val="00200CC6"/>
    <w:rsid w:val="002031A6"/>
    <w:rsid w:val="00211DCE"/>
    <w:rsid w:val="002214AB"/>
    <w:rsid w:val="00223F12"/>
    <w:rsid w:val="002331A0"/>
    <w:rsid w:val="00244221"/>
    <w:rsid w:val="002645F5"/>
    <w:rsid w:val="00286ABC"/>
    <w:rsid w:val="0029195E"/>
    <w:rsid w:val="002A0329"/>
    <w:rsid w:val="003057F7"/>
    <w:rsid w:val="00312E49"/>
    <w:rsid w:val="003A1C1B"/>
    <w:rsid w:val="003B3D1A"/>
    <w:rsid w:val="003F5036"/>
    <w:rsid w:val="00423DCE"/>
    <w:rsid w:val="00434786"/>
    <w:rsid w:val="00437C2F"/>
    <w:rsid w:val="004439F3"/>
    <w:rsid w:val="00462540"/>
    <w:rsid w:val="00492B16"/>
    <w:rsid w:val="00494738"/>
    <w:rsid w:val="004D3969"/>
    <w:rsid w:val="004D54A9"/>
    <w:rsid w:val="005200A0"/>
    <w:rsid w:val="00540248"/>
    <w:rsid w:val="005451A0"/>
    <w:rsid w:val="00563786"/>
    <w:rsid w:val="00593BBD"/>
    <w:rsid w:val="005C1EA3"/>
    <w:rsid w:val="005D1D78"/>
    <w:rsid w:val="00614B77"/>
    <w:rsid w:val="006264BA"/>
    <w:rsid w:val="00645930"/>
    <w:rsid w:val="0064618A"/>
    <w:rsid w:val="00671CE0"/>
    <w:rsid w:val="006761FF"/>
    <w:rsid w:val="006A34ED"/>
    <w:rsid w:val="006E5ECB"/>
    <w:rsid w:val="006F1F44"/>
    <w:rsid w:val="00711AA6"/>
    <w:rsid w:val="00723ABB"/>
    <w:rsid w:val="00742B86"/>
    <w:rsid w:val="007669DD"/>
    <w:rsid w:val="00797925"/>
    <w:rsid w:val="007D1E1B"/>
    <w:rsid w:val="007D2F59"/>
    <w:rsid w:val="007F212D"/>
    <w:rsid w:val="007F22B5"/>
    <w:rsid w:val="00821A5C"/>
    <w:rsid w:val="00857D41"/>
    <w:rsid w:val="00862011"/>
    <w:rsid w:val="008635FA"/>
    <w:rsid w:val="00863A97"/>
    <w:rsid w:val="008721C8"/>
    <w:rsid w:val="00884089"/>
    <w:rsid w:val="00887574"/>
    <w:rsid w:val="008969E9"/>
    <w:rsid w:val="00897E31"/>
    <w:rsid w:val="008B37E8"/>
    <w:rsid w:val="008C4495"/>
    <w:rsid w:val="008D240A"/>
    <w:rsid w:val="009226DF"/>
    <w:rsid w:val="00931336"/>
    <w:rsid w:val="00983E99"/>
    <w:rsid w:val="00997F6B"/>
    <w:rsid w:val="009A4AD5"/>
    <w:rsid w:val="009B0A1E"/>
    <w:rsid w:val="009B0B5D"/>
    <w:rsid w:val="009C0C59"/>
    <w:rsid w:val="009D114D"/>
    <w:rsid w:val="009D74F0"/>
    <w:rsid w:val="009D7C4C"/>
    <w:rsid w:val="009F169E"/>
    <w:rsid w:val="009F50EF"/>
    <w:rsid w:val="00A15563"/>
    <w:rsid w:val="00AA1757"/>
    <w:rsid w:val="00AA230D"/>
    <w:rsid w:val="00AC014B"/>
    <w:rsid w:val="00AD6BDE"/>
    <w:rsid w:val="00B3799F"/>
    <w:rsid w:val="00B56751"/>
    <w:rsid w:val="00B74F40"/>
    <w:rsid w:val="00B77B35"/>
    <w:rsid w:val="00B836DC"/>
    <w:rsid w:val="00B92989"/>
    <w:rsid w:val="00B96424"/>
    <w:rsid w:val="00BA29A4"/>
    <w:rsid w:val="00BB0A98"/>
    <w:rsid w:val="00BC1A17"/>
    <w:rsid w:val="00BF2254"/>
    <w:rsid w:val="00C121B1"/>
    <w:rsid w:val="00C1243D"/>
    <w:rsid w:val="00C16007"/>
    <w:rsid w:val="00C54ACF"/>
    <w:rsid w:val="00C55059"/>
    <w:rsid w:val="00C61314"/>
    <w:rsid w:val="00C67520"/>
    <w:rsid w:val="00C860B6"/>
    <w:rsid w:val="00CB0222"/>
    <w:rsid w:val="00CC3F7F"/>
    <w:rsid w:val="00CD5037"/>
    <w:rsid w:val="00CF7485"/>
    <w:rsid w:val="00D27145"/>
    <w:rsid w:val="00D27641"/>
    <w:rsid w:val="00D2794F"/>
    <w:rsid w:val="00D34566"/>
    <w:rsid w:val="00D442AF"/>
    <w:rsid w:val="00D445A2"/>
    <w:rsid w:val="00D6295E"/>
    <w:rsid w:val="00DA3183"/>
    <w:rsid w:val="00DC5510"/>
    <w:rsid w:val="00DD3717"/>
    <w:rsid w:val="00DE2B7D"/>
    <w:rsid w:val="00DE70EE"/>
    <w:rsid w:val="00DF5230"/>
    <w:rsid w:val="00E12A29"/>
    <w:rsid w:val="00E16AC4"/>
    <w:rsid w:val="00E26079"/>
    <w:rsid w:val="00E31F4D"/>
    <w:rsid w:val="00E344D6"/>
    <w:rsid w:val="00E3516F"/>
    <w:rsid w:val="00E62B1C"/>
    <w:rsid w:val="00E90182"/>
    <w:rsid w:val="00E97C44"/>
    <w:rsid w:val="00EA1A84"/>
    <w:rsid w:val="00EC2A1B"/>
    <w:rsid w:val="00ED48A2"/>
    <w:rsid w:val="00F17096"/>
    <w:rsid w:val="00F27EB8"/>
    <w:rsid w:val="00F57F85"/>
    <w:rsid w:val="00F6127E"/>
    <w:rsid w:val="00F6176E"/>
    <w:rsid w:val="00F82864"/>
    <w:rsid w:val="00F94FBB"/>
    <w:rsid w:val="00F9793B"/>
    <w:rsid w:val="00FA3A05"/>
    <w:rsid w:val="00FC2FCB"/>
    <w:rsid w:val="00FD682F"/>
    <w:rsid w:val="00FE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0908"/>
  <w15:chartTrackingRefBased/>
  <w15:docId w15:val="{1910BC6F-17F8-4407-B598-72FC19A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14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7C2F"/>
    <w:pPr>
      <w:tabs>
        <w:tab w:val="center" w:pos="4513"/>
        <w:tab w:val="right" w:pos="9026"/>
      </w:tabs>
    </w:pPr>
  </w:style>
  <w:style w:type="character" w:customStyle="1" w:styleId="GalveneRakstz">
    <w:name w:val="Galvene Rakstz."/>
    <w:basedOn w:val="Noklusjumarindkopasfonts"/>
    <w:link w:val="Galvene"/>
    <w:uiPriority w:val="99"/>
    <w:rsid w:val="00437C2F"/>
  </w:style>
  <w:style w:type="paragraph" w:styleId="Kjene">
    <w:name w:val="footer"/>
    <w:basedOn w:val="Parasts"/>
    <w:link w:val="KjeneRakstz"/>
    <w:uiPriority w:val="99"/>
    <w:unhideWhenUsed/>
    <w:rsid w:val="00437C2F"/>
    <w:pPr>
      <w:tabs>
        <w:tab w:val="center" w:pos="4513"/>
        <w:tab w:val="right" w:pos="9026"/>
      </w:tabs>
    </w:pPr>
  </w:style>
  <w:style w:type="character" w:customStyle="1" w:styleId="KjeneRakstz">
    <w:name w:val="Kājene Rakstz."/>
    <w:basedOn w:val="Noklusjumarindkopasfonts"/>
    <w:link w:val="Kjene"/>
    <w:uiPriority w:val="99"/>
    <w:rsid w:val="00437C2F"/>
  </w:style>
  <w:style w:type="table" w:styleId="Reatabula">
    <w:name w:val="Table Grid"/>
    <w:basedOn w:val="Parastatabula"/>
    <w:uiPriority w:val="59"/>
    <w:rsid w:val="0043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7C2F"/>
    <w:rPr>
      <w:color w:val="0563C1" w:themeColor="hyperlink"/>
      <w:u w:val="single"/>
    </w:rPr>
  </w:style>
  <w:style w:type="character" w:styleId="Neatrisintapieminana">
    <w:name w:val="Unresolved Mention"/>
    <w:basedOn w:val="Noklusjumarindkopasfonts"/>
    <w:uiPriority w:val="99"/>
    <w:semiHidden/>
    <w:unhideWhenUsed/>
    <w:rsid w:val="00437C2F"/>
    <w:rPr>
      <w:color w:val="605E5C"/>
      <w:shd w:val="clear" w:color="auto" w:fill="E1DFDD"/>
    </w:rPr>
  </w:style>
  <w:style w:type="paragraph" w:styleId="Atpakaadreseuzaploksnes">
    <w:name w:val="envelope return"/>
    <w:basedOn w:val="Parasts"/>
    <w:rsid w:val="002214AB"/>
    <w:pPr>
      <w:keepLines/>
      <w:widowControl w:val="0"/>
      <w:spacing w:before="600"/>
    </w:pPr>
    <w:rPr>
      <w:rFonts w:eastAsia="Times New Roman" w:cs="Times New Roman"/>
      <w:i/>
      <w:sz w:val="26"/>
      <w:szCs w:val="20"/>
      <w:lang w:val="en-AU"/>
    </w:rPr>
  </w:style>
  <w:style w:type="paragraph" w:styleId="Pamattekstsaratkpi">
    <w:name w:val="Body Text Indent"/>
    <w:basedOn w:val="Parasts"/>
    <w:link w:val="PamattekstsaratkpiRakstz"/>
    <w:rsid w:val="002214AB"/>
    <w:pPr>
      <w:widowControl w:val="0"/>
      <w:spacing w:before="60" w:after="60" w:line="360" w:lineRule="auto"/>
    </w:pPr>
    <w:rPr>
      <w:rFonts w:eastAsia="Times New Roman" w:cs="Times New Roman"/>
      <w:i/>
      <w:szCs w:val="20"/>
      <w:lang w:eastAsia="lv-LV"/>
    </w:rPr>
  </w:style>
  <w:style w:type="character" w:customStyle="1" w:styleId="PamattekstsaratkpiRakstz">
    <w:name w:val="Pamatteksts ar atkāpi Rakstz."/>
    <w:basedOn w:val="Noklusjumarindkopasfonts"/>
    <w:link w:val="Pamattekstsaratkpi"/>
    <w:rsid w:val="002214AB"/>
    <w:rPr>
      <w:rFonts w:ascii="Times New Roman" w:eastAsia="Times New Roman" w:hAnsi="Times New Roman" w:cs="Times New Roman"/>
      <w:i/>
      <w:sz w:val="24"/>
      <w:szCs w:val="20"/>
      <w:lang w:eastAsia="lv-LV"/>
    </w:rPr>
  </w:style>
  <w:style w:type="paragraph" w:styleId="Bezatstarpm">
    <w:name w:val="No Spacing"/>
    <w:uiPriority w:val="1"/>
    <w:qFormat/>
    <w:rsid w:val="002214AB"/>
    <w:rPr>
      <w:rFonts w:ascii="Montserrat" w:hAnsi="Montserrat"/>
    </w:rPr>
  </w:style>
  <w:style w:type="paragraph" w:customStyle="1" w:styleId="Veidlapam">
    <w:name w:val="Veidlapam"/>
    <w:basedOn w:val="Parasts"/>
    <w:qFormat/>
    <w:rsid w:val="00FA3A05"/>
  </w:style>
  <w:style w:type="table" w:customStyle="1" w:styleId="Reatabula1">
    <w:name w:val="Režģa tabula1"/>
    <w:basedOn w:val="Parastatabula"/>
    <w:next w:val="Reatabula"/>
    <w:uiPriority w:val="59"/>
    <w:rsid w:val="00DE70EE"/>
    <w:pPr>
      <w:ind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200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0A0"/>
    <w:rPr>
      <w:rFonts w:ascii="Segoe UI" w:hAnsi="Segoe UI" w:cs="Segoe UI"/>
      <w:sz w:val="18"/>
      <w:szCs w:val="18"/>
    </w:rPr>
  </w:style>
  <w:style w:type="paragraph" w:styleId="Vresteksts">
    <w:name w:val="footnote text"/>
    <w:basedOn w:val="Parasts"/>
    <w:link w:val="VrestekstsRakstz"/>
    <w:uiPriority w:val="99"/>
    <w:semiHidden/>
    <w:unhideWhenUsed/>
    <w:rsid w:val="00423DCE"/>
    <w:pPr>
      <w:ind w:firstLine="0"/>
      <w:jc w:val="left"/>
    </w:pPr>
    <w:rPr>
      <w:rFonts w:ascii="Calibri" w:hAnsi="Calibri"/>
      <w:sz w:val="20"/>
      <w:szCs w:val="20"/>
    </w:rPr>
  </w:style>
  <w:style w:type="character" w:customStyle="1" w:styleId="VrestekstsRakstz">
    <w:name w:val="Vēres teksts Rakstz."/>
    <w:basedOn w:val="Noklusjumarindkopasfonts"/>
    <w:link w:val="Vresteksts"/>
    <w:uiPriority w:val="99"/>
    <w:semiHidden/>
    <w:rsid w:val="00423DCE"/>
    <w:rPr>
      <w:rFonts w:ascii="Calibri" w:hAnsi="Calibri"/>
      <w:sz w:val="20"/>
      <w:szCs w:val="20"/>
    </w:rPr>
  </w:style>
  <w:style w:type="character" w:styleId="Vresatsauce">
    <w:name w:val="footnote reference"/>
    <w:basedOn w:val="Noklusjumarindkopasfonts"/>
    <w:uiPriority w:val="99"/>
    <w:semiHidden/>
    <w:unhideWhenUsed/>
    <w:rsid w:val="00423DCE"/>
    <w:rPr>
      <w:vertAlign w:val="superscript"/>
    </w:rPr>
  </w:style>
  <w:style w:type="paragraph" w:styleId="Prskatjums">
    <w:name w:val="Revision"/>
    <w:hidden/>
    <w:uiPriority w:val="99"/>
    <w:semiHidden/>
    <w:rsid w:val="00C16007"/>
    <w:pPr>
      <w:ind w:firstLine="0"/>
      <w:jc w:val="left"/>
    </w:pPr>
  </w:style>
  <w:style w:type="paragraph" w:styleId="Sarakstarindkopa">
    <w:name w:val="List Paragraph"/>
    <w:basedOn w:val="Parasts"/>
    <w:uiPriority w:val="34"/>
    <w:qFormat/>
    <w:rsid w:val="000E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stat.gov.lv/pxweb/lv/OSP_PUB/START__VEK__RC__RCB/RCB030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6C7D0-77B1-4C84-9031-1508107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6994</Words>
  <Characters>3987</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Nosūtāmais dokuments</vt:lpstr>
    </vt:vector>
  </TitlesOfParts>
  <Company>LATVIJAS VALSTS CEĻI</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līguma vienības cenas pārskatīšanu</dc:subject>
  <dc:creator>Valnere S.</dc:creator>
  <cp:keywords/>
  <dc:description>Sagatavots ALS E-aprites vidē.</dc:description>
  <cp:lastModifiedBy>Elīna Pankovska</cp:lastModifiedBy>
  <cp:revision>7</cp:revision>
  <dcterms:created xsi:type="dcterms:W3CDTF">2022-05-24T13:44:00Z</dcterms:created>
  <dcterms:modified xsi:type="dcterms:W3CDTF">2022-05-26T06:15:00Z</dcterms:modified>
  <cp:contentStatus/>
</cp:coreProperties>
</file>