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3F7A" w14:textId="77777777" w:rsidR="0067189C" w:rsidRDefault="0067189C" w:rsidP="003B6549">
      <w:pPr>
        <w:jc w:val="center"/>
        <w:rPr>
          <w:b/>
          <w:sz w:val="24"/>
          <w:szCs w:val="24"/>
        </w:rPr>
      </w:pPr>
      <w:bookmarkStart w:id="0" w:name="_Hlk86843181"/>
    </w:p>
    <w:p w14:paraId="649AB3A1" w14:textId="3784D0EF" w:rsidR="00F231FB" w:rsidRDefault="00AA3C0B" w:rsidP="003B6549">
      <w:pPr>
        <w:jc w:val="center"/>
        <w:rPr>
          <w:b/>
          <w:sz w:val="24"/>
          <w:szCs w:val="24"/>
        </w:rPr>
      </w:pPr>
      <w:r>
        <w:rPr>
          <w:b/>
          <w:sz w:val="24"/>
          <w:szCs w:val="24"/>
        </w:rPr>
        <w:t>Valsts autoceļ</w:t>
      </w:r>
      <w:r w:rsidR="0067189C">
        <w:rPr>
          <w:b/>
          <w:sz w:val="24"/>
          <w:szCs w:val="24"/>
        </w:rPr>
        <w:t>a</w:t>
      </w:r>
    </w:p>
    <w:p w14:paraId="76E27F62" w14:textId="3AFAEAD6" w:rsidR="00B82C59" w:rsidRDefault="00B82C59" w:rsidP="0067189C">
      <w:pPr>
        <w:jc w:val="center"/>
        <w:rPr>
          <w:b/>
          <w:sz w:val="24"/>
          <w:szCs w:val="24"/>
        </w:rPr>
      </w:pPr>
      <w:r>
        <w:rPr>
          <w:b/>
          <w:sz w:val="24"/>
          <w:szCs w:val="24"/>
        </w:rPr>
        <w:t xml:space="preserve">V1455 Ozolpils </w:t>
      </w:r>
      <w:r w:rsidR="000B2712">
        <w:rPr>
          <w:b/>
          <w:sz w:val="24"/>
          <w:szCs w:val="24"/>
        </w:rPr>
        <w:t>–</w:t>
      </w:r>
      <w:r>
        <w:rPr>
          <w:b/>
          <w:sz w:val="24"/>
          <w:szCs w:val="24"/>
        </w:rPr>
        <w:t xml:space="preserve"> Degole</w:t>
      </w:r>
      <w:r w:rsidR="000B2712">
        <w:rPr>
          <w:b/>
          <w:sz w:val="24"/>
          <w:szCs w:val="24"/>
        </w:rPr>
        <w:t xml:space="preserve"> no km </w:t>
      </w:r>
      <w:r w:rsidR="00131BD5">
        <w:rPr>
          <w:b/>
          <w:sz w:val="24"/>
          <w:szCs w:val="24"/>
        </w:rPr>
        <w:t>9,2</w:t>
      </w:r>
      <w:r w:rsidR="000B2712">
        <w:rPr>
          <w:b/>
          <w:sz w:val="24"/>
          <w:szCs w:val="24"/>
        </w:rPr>
        <w:t xml:space="preserve"> līdz km 9,</w:t>
      </w:r>
      <w:r w:rsidR="00131BD5">
        <w:rPr>
          <w:b/>
          <w:sz w:val="24"/>
          <w:szCs w:val="24"/>
        </w:rPr>
        <w:t>4</w:t>
      </w:r>
      <w:r w:rsidR="00481200">
        <w:rPr>
          <w:b/>
          <w:sz w:val="24"/>
          <w:szCs w:val="24"/>
        </w:rPr>
        <w:t xml:space="preserve"> piecus </w:t>
      </w:r>
      <w:r w:rsidR="00DF374E">
        <w:rPr>
          <w:b/>
          <w:sz w:val="24"/>
          <w:szCs w:val="24"/>
        </w:rPr>
        <w:t>kokus</w:t>
      </w:r>
    </w:p>
    <w:p w14:paraId="7B029629" w14:textId="3DCB6FCA" w:rsidR="00AA3C0B" w:rsidRDefault="00AA3C0B" w:rsidP="00AA3C0B">
      <w:pPr>
        <w:jc w:val="center"/>
        <w:rPr>
          <w:b/>
          <w:sz w:val="24"/>
          <w:szCs w:val="24"/>
        </w:rPr>
      </w:pPr>
      <w:r w:rsidRPr="00C158DB">
        <w:rPr>
          <w:b/>
          <w:sz w:val="24"/>
          <w:szCs w:val="24"/>
        </w:rPr>
        <w:t xml:space="preserve"> ceļu zemes nodalījuma joslas (</w:t>
      </w:r>
      <w:r w:rsidR="00E054D6">
        <w:rPr>
          <w:b/>
          <w:sz w:val="24"/>
          <w:szCs w:val="24"/>
        </w:rPr>
        <w:t>90</w:t>
      </w:r>
      <w:r w:rsidR="0067189C">
        <w:rPr>
          <w:b/>
          <w:sz w:val="24"/>
          <w:szCs w:val="24"/>
        </w:rPr>
        <w:t>460010118</w:t>
      </w:r>
      <w:r w:rsidRPr="00C158DB">
        <w:rPr>
          <w:b/>
          <w:sz w:val="24"/>
          <w:szCs w:val="24"/>
        </w:rPr>
        <w:t>) apauguma likvidēšanas</w:t>
      </w:r>
      <w:r>
        <w:rPr>
          <w:b/>
          <w:sz w:val="24"/>
          <w:szCs w:val="24"/>
        </w:rPr>
        <w:t xml:space="preserve"> darbu</w:t>
      </w:r>
      <w:r w:rsidR="00CD62A4">
        <w:rPr>
          <w:b/>
          <w:sz w:val="24"/>
          <w:szCs w:val="24"/>
        </w:rPr>
        <w:t>s.</w:t>
      </w:r>
    </w:p>
    <w:p w14:paraId="2D4795B0" w14:textId="77777777" w:rsidR="00AA3C0B" w:rsidRDefault="00AA3C0B" w:rsidP="00AA3C0B">
      <w:pPr>
        <w:jc w:val="center"/>
        <w:rPr>
          <w:b/>
          <w:sz w:val="24"/>
          <w:szCs w:val="24"/>
        </w:rPr>
      </w:pPr>
    </w:p>
    <w:bookmarkEnd w:id="0"/>
    <w:p w14:paraId="78F186E5" w14:textId="77777777" w:rsidR="00AB4723" w:rsidRDefault="00AB4723" w:rsidP="00AB4723">
      <w:pPr>
        <w:jc w:val="center"/>
        <w:rPr>
          <w:b/>
          <w:bCs/>
          <w:color w:val="FF0000"/>
          <w:sz w:val="24"/>
          <w:szCs w:val="24"/>
        </w:rPr>
      </w:pPr>
    </w:p>
    <w:p w14:paraId="64D0EA0A" w14:textId="4EFBB22B"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CC1C0D">
        <w:rPr>
          <w:b/>
          <w:bCs/>
          <w:sz w:val="24"/>
          <w:szCs w:val="24"/>
        </w:rPr>
        <w:t>12</w:t>
      </w:r>
      <w:r w:rsidRPr="006C241B">
        <w:rPr>
          <w:b/>
          <w:bCs/>
          <w:sz w:val="24"/>
          <w:szCs w:val="24"/>
        </w:rPr>
        <w:t>. </w:t>
      </w:r>
      <w:r w:rsidR="000B4B84">
        <w:rPr>
          <w:b/>
          <w:bCs/>
          <w:sz w:val="24"/>
          <w:szCs w:val="24"/>
        </w:rPr>
        <w:t>novembra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3B715759" w14:textId="3D87CBA9" w:rsidR="00AB4723" w:rsidRPr="00077E40" w:rsidRDefault="00AD3971" w:rsidP="00077E40">
      <w:pPr>
        <w:ind w:left="720"/>
        <w:rPr>
          <w:bCs/>
          <w:sz w:val="24"/>
          <w:szCs w:val="24"/>
        </w:rPr>
      </w:pPr>
      <w:r w:rsidRPr="00AD3971">
        <w:rPr>
          <w:bCs/>
          <w:sz w:val="24"/>
          <w:szCs w:val="24"/>
        </w:rPr>
        <w:t>Valsts autoceļ</w:t>
      </w:r>
      <w:r w:rsidR="0067189C">
        <w:rPr>
          <w:bCs/>
          <w:sz w:val="24"/>
          <w:szCs w:val="24"/>
        </w:rPr>
        <w:t xml:space="preserve">a </w:t>
      </w:r>
      <w:r w:rsidRPr="00AD3971">
        <w:rPr>
          <w:bCs/>
          <w:sz w:val="24"/>
          <w:szCs w:val="24"/>
        </w:rPr>
        <w:t xml:space="preserve">V1455 Ozolpils – Degole no km </w:t>
      </w:r>
      <w:r w:rsidR="00697FE3">
        <w:rPr>
          <w:bCs/>
          <w:sz w:val="24"/>
          <w:szCs w:val="24"/>
        </w:rPr>
        <w:t>9,2</w:t>
      </w:r>
      <w:r w:rsidRPr="00AD3971">
        <w:rPr>
          <w:bCs/>
          <w:sz w:val="24"/>
          <w:szCs w:val="24"/>
        </w:rPr>
        <w:t xml:space="preserve"> līdz km 9,</w:t>
      </w:r>
      <w:r w:rsidR="00697FE3">
        <w:rPr>
          <w:bCs/>
          <w:sz w:val="24"/>
          <w:szCs w:val="24"/>
        </w:rPr>
        <w:t>4</w:t>
      </w:r>
      <w:r w:rsidRPr="00AD3971">
        <w:rPr>
          <w:bCs/>
          <w:sz w:val="24"/>
          <w:szCs w:val="24"/>
        </w:rPr>
        <w:t xml:space="preserve"> piecus kokus </w:t>
      </w:r>
      <w:r w:rsidR="00AA3C0B" w:rsidRPr="00077E40">
        <w:rPr>
          <w:bCs/>
          <w:sz w:val="24"/>
          <w:szCs w:val="24"/>
        </w:rPr>
        <w:t xml:space="preserve">ceļu zemes nodalījuma joslas </w:t>
      </w:r>
      <w:r w:rsidR="00AB4723" w:rsidRPr="00077E40">
        <w:rPr>
          <w:sz w:val="24"/>
          <w:szCs w:val="24"/>
        </w:rPr>
        <w:t>apauguma (koki un krūmi) likvidēšanas darbu (turpmāk – Darbi) izsole valsts īpašuma robežās</w:t>
      </w:r>
      <w:r w:rsidR="006B3BBB" w:rsidRPr="00077E40">
        <w:rPr>
          <w:bCs/>
          <w:sz w:val="24"/>
          <w:szCs w:val="24"/>
        </w:rPr>
        <w:t xml:space="preserve"> (kadastra Nr. 904</w:t>
      </w:r>
      <w:r w:rsidR="00970D4C">
        <w:rPr>
          <w:bCs/>
          <w:sz w:val="24"/>
          <w:szCs w:val="24"/>
        </w:rPr>
        <w:t>60010118</w:t>
      </w:r>
      <w:r w:rsidR="006B3BBB" w:rsidRPr="00077E40">
        <w:rPr>
          <w:bCs/>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27A00156"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xml:space="preserve">) ne vēlāk kā </w:t>
      </w:r>
      <w:r w:rsidR="005811C3">
        <w:rPr>
          <w:bCs/>
          <w:sz w:val="24"/>
          <w:szCs w:val="24"/>
        </w:rPr>
        <w:t>3</w:t>
      </w:r>
      <w:r w:rsidRPr="00C158DB">
        <w:rPr>
          <w:bCs/>
          <w:sz w:val="24"/>
          <w:szCs w:val="24"/>
        </w:rPr>
        <w:t xml:space="preserve"> (</w:t>
      </w:r>
      <w:r w:rsidR="005811C3">
        <w:rPr>
          <w:bCs/>
          <w:sz w:val="24"/>
          <w:szCs w:val="24"/>
        </w:rPr>
        <w:t>trīs</w:t>
      </w:r>
      <w:r w:rsidRPr="00C158DB">
        <w:rPr>
          <w:bCs/>
          <w:sz w:val="24"/>
          <w:szCs w:val="24"/>
        </w:rPr>
        <w:t>) dienas pirms izsoles dienas.</w:t>
      </w:r>
    </w:p>
    <w:p w14:paraId="7A969F53" w14:textId="77777777" w:rsidR="00AB4723" w:rsidRPr="00C158DB" w:rsidRDefault="00AB4723" w:rsidP="00AB4723">
      <w:pPr>
        <w:ind w:firstLine="720"/>
        <w:jc w:val="both"/>
        <w:rPr>
          <w:bCs/>
          <w:sz w:val="24"/>
          <w:szCs w:val="24"/>
        </w:rPr>
      </w:pPr>
    </w:p>
    <w:p w14:paraId="7F6B293C" w14:textId="5695C3DB"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055766">
        <w:rPr>
          <w:bCs/>
          <w:sz w:val="24"/>
          <w:szCs w:val="24"/>
        </w:rPr>
        <w:t xml:space="preserve"> LVC</w:t>
      </w:r>
      <w:r w:rsidR="004F0EAA">
        <w:rPr>
          <w:bCs/>
          <w:sz w:val="24"/>
          <w:szCs w:val="24"/>
        </w:rPr>
        <w:t xml:space="preserve"> </w:t>
      </w:r>
      <w:r w:rsidR="002C6725">
        <w:rPr>
          <w:bCs/>
          <w:sz w:val="24"/>
          <w:szCs w:val="24"/>
        </w:rPr>
        <w:t>Tukuma 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77777777"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AB4723" w:rsidRPr="00780ABA">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4FE19B39"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CC1C0D">
        <w:rPr>
          <w:b/>
          <w:bCs/>
          <w:sz w:val="24"/>
          <w:szCs w:val="24"/>
        </w:rPr>
        <w:t>12</w:t>
      </w:r>
      <w:r w:rsidR="00AA3C0B">
        <w:rPr>
          <w:b/>
          <w:bCs/>
          <w:sz w:val="24"/>
          <w:szCs w:val="24"/>
        </w:rPr>
        <w:t xml:space="preserve">. </w:t>
      </w:r>
      <w:r w:rsidR="00F12B74">
        <w:rPr>
          <w:b/>
          <w:bCs/>
          <w:sz w:val="24"/>
          <w:szCs w:val="24"/>
        </w:rPr>
        <w:t>novembr</w:t>
      </w:r>
      <w:r w:rsidR="008D495E">
        <w:rPr>
          <w:b/>
          <w:bCs/>
          <w:sz w:val="24"/>
          <w:szCs w:val="24"/>
        </w:rPr>
        <w:t>a</w:t>
      </w:r>
      <w:r w:rsidR="00AA3C0B">
        <w:rPr>
          <w:b/>
          <w:bCs/>
          <w:sz w:val="24"/>
          <w:szCs w:val="24"/>
        </w:rPr>
        <w:t xml:space="preserve">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Nodaļā.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32ABBDC8"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BA68CB">
        <w:rPr>
          <w:sz w:val="24"/>
          <w:szCs w:val="24"/>
        </w:rPr>
        <w:t xml:space="preserve"> </w:t>
      </w:r>
      <w:r w:rsidR="00F423C8">
        <w:rPr>
          <w:sz w:val="24"/>
          <w:szCs w:val="24"/>
        </w:rPr>
        <w:t>30</w:t>
      </w:r>
      <w:r w:rsidR="00BA68CB">
        <w:rPr>
          <w:sz w:val="24"/>
          <w:szCs w:val="24"/>
        </w:rPr>
        <w:t>.</w:t>
      </w:r>
      <w:r w:rsidR="008C7833">
        <w:rPr>
          <w:sz w:val="24"/>
          <w:szCs w:val="24"/>
        </w:rPr>
        <w:t>1</w:t>
      </w:r>
      <w:r w:rsidR="00970D4C">
        <w:rPr>
          <w:sz w:val="24"/>
          <w:szCs w:val="24"/>
        </w:rPr>
        <w:t>1</w:t>
      </w:r>
      <w:r w:rsidR="00BA68CB">
        <w:rPr>
          <w:sz w:val="24"/>
          <w:szCs w:val="24"/>
        </w:rPr>
        <w:t>.2021.</w:t>
      </w:r>
    </w:p>
    <w:p w14:paraId="173B7559" w14:textId="77777777" w:rsidR="00AB4723" w:rsidRPr="00780ABA" w:rsidRDefault="00564CDA" w:rsidP="00AB4723">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4093BE07" w14:textId="77777777" w:rsidR="002C4A21" w:rsidRDefault="002C4A21" w:rsidP="00AB4723">
      <w:pPr>
        <w:ind w:firstLine="709"/>
        <w:contextualSpacing/>
        <w:jc w:val="both"/>
        <w:rPr>
          <w:bCs/>
          <w:sz w:val="24"/>
          <w:szCs w:val="24"/>
        </w:rPr>
      </w:pPr>
    </w:p>
    <w:p w14:paraId="01891433" w14:textId="2744A172" w:rsidR="00AB4723" w:rsidRDefault="00564CDA" w:rsidP="00AB4723">
      <w:pPr>
        <w:ind w:firstLine="709"/>
        <w:contextualSpacing/>
        <w:jc w:val="both"/>
        <w:rPr>
          <w:bCs/>
          <w:sz w:val="24"/>
          <w:szCs w:val="24"/>
        </w:rPr>
      </w:pPr>
      <w:r>
        <w:rPr>
          <w:bCs/>
          <w:sz w:val="24"/>
          <w:szCs w:val="24"/>
        </w:rPr>
        <w:t>9</w:t>
      </w:r>
      <w:r w:rsidR="00AB4723" w:rsidRPr="00780ABA">
        <w:rPr>
          <w:bCs/>
          <w:sz w:val="24"/>
          <w:szCs w:val="24"/>
        </w:rPr>
        <w:t>. Kritēriju piemērošana notiek pēc principa:</w:t>
      </w:r>
    </w:p>
    <w:p w14:paraId="0EF249B7" w14:textId="77777777" w:rsidR="00C42F42" w:rsidRPr="00780ABA" w:rsidRDefault="00C42F42" w:rsidP="00AB4723">
      <w:pPr>
        <w:ind w:firstLine="709"/>
        <w:contextualSpacing/>
        <w:jc w:val="both"/>
        <w:rPr>
          <w:bCs/>
          <w:sz w:val="24"/>
          <w:szCs w:val="24"/>
        </w:rPr>
      </w:pP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proofErr w:type="spellStart"/>
            <w:r w:rsidRPr="009361E9">
              <w:rPr>
                <w:rFonts w:ascii="Times New Roman" w:hAnsi="Times New Roman"/>
                <w:b/>
                <w:bCs/>
                <w:lang w:val="en-US"/>
              </w:rPr>
              <w:t>Kritērijs</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proofErr w:type="spellStart"/>
            <w:r w:rsidRPr="009361E9">
              <w:rPr>
                <w:rFonts w:ascii="Times New Roman" w:hAnsi="Times New Roman"/>
                <w:b/>
                <w:bCs/>
                <w:lang w:val="en-US"/>
              </w:rPr>
              <w:t>Rādītājs</w:t>
            </w:r>
            <w:proofErr w:type="spellEnd"/>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proofErr w:type="spellStart"/>
            <w:r w:rsidRPr="009361E9">
              <w:rPr>
                <w:rFonts w:ascii="Times New Roman" w:hAnsi="Times New Roman"/>
                <w:b/>
                <w:bCs/>
                <w:lang w:val="en-US"/>
              </w:rPr>
              <w:t>Punkti</w:t>
            </w:r>
            <w:proofErr w:type="spellEnd"/>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proofErr w:type="spellStart"/>
            <w:r w:rsidRPr="009361E9">
              <w:rPr>
                <w:rFonts w:ascii="Times New Roman" w:hAnsi="Times New Roman"/>
                <w:lang w:val="en-US"/>
              </w:rPr>
              <w:t>Apauguma</w:t>
            </w:r>
            <w:proofErr w:type="spellEnd"/>
            <w:r w:rsidRPr="009361E9">
              <w:rPr>
                <w:rFonts w:ascii="Times New Roman" w:hAnsi="Times New Roman"/>
                <w:lang w:val="en-US"/>
              </w:rPr>
              <w:t xml:space="preserve"> </w:t>
            </w:r>
            <w:proofErr w:type="spellStart"/>
            <w:r w:rsidRPr="009361E9">
              <w:rPr>
                <w:rFonts w:ascii="Times New Roman" w:hAnsi="Times New Roman"/>
                <w:lang w:val="en-US"/>
              </w:rPr>
              <w:t>likvid</w:t>
            </w:r>
            <w:proofErr w:type="spellEnd"/>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proofErr w:type="spellStart"/>
            <w:r w:rsidRPr="009361E9">
              <w:rPr>
                <w:rFonts w:ascii="Times New Roman" w:hAnsi="Times New Roman"/>
                <w:i/>
                <w:lang w:val="en-US"/>
              </w:rPr>
              <w:t>Katrs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nākamais</w:t>
            </w:r>
            <w:proofErr w:type="spellEnd"/>
            <w:r w:rsidRPr="009361E9">
              <w:rPr>
                <w:rFonts w:ascii="Times New Roman" w:hAnsi="Times New Roman"/>
                <w:i/>
                <w:lang w:val="en-US"/>
              </w:rPr>
              <w:t xml:space="preserve">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xml:space="preserve">(- 5 </w:t>
            </w:r>
            <w:proofErr w:type="spellStart"/>
            <w:r w:rsidRPr="009361E9">
              <w:rPr>
                <w:rFonts w:ascii="Times New Roman" w:hAnsi="Times New Roman"/>
                <w:b/>
                <w:bCs/>
                <w:lang w:val="en-US"/>
              </w:rPr>
              <w:t>punkti</w:t>
            </w:r>
            <w:proofErr w:type="spellEnd"/>
            <w:r w:rsidRPr="009361E9">
              <w:rPr>
                <w:rFonts w:ascii="Times New Roman" w:hAnsi="Times New Roman"/>
                <w:b/>
                <w:bCs/>
                <w:lang w:val="en-US"/>
              </w:rPr>
              <w:t xml:space="preserve">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proofErr w:type="spellStart"/>
            <w:r w:rsidRPr="009361E9">
              <w:rPr>
                <w:rFonts w:ascii="Times New Roman" w:hAnsi="Times New Roman"/>
                <w:lang w:val="en-US"/>
              </w:rPr>
              <w:lastRenderedPageBreak/>
              <w:t>Iepriekšējā</w:t>
            </w:r>
            <w:proofErr w:type="spellEnd"/>
            <w:r w:rsidRPr="009361E9">
              <w:rPr>
                <w:rFonts w:ascii="Times New Roman" w:hAnsi="Times New Roman"/>
                <w:lang w:val="en-US"/>
              </w:rPr>
              <w:t xml:space="preserve"> </w:t>
            </w:r>
            <w:proofErr w:type="spellStart"/>
            <w:r w:rsidRPr="009361E9">
              <w:rPr>
                <w:rFonts w:ascii="Times New Roman" w:hAnsi="Times New Roman"/>
                <w:lang w:val="en-US"/>
              </w:rPr>
              <w:t>pieredze</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w:t>
            </w: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proofErr w:type="spellStart"/>
            <w:r w:rsidRPr="009361E9">
              <w:rPr>
                <w:rFonts w:ascii="Times New Roman" w:hAnsi="Times New Roman"/>
                <w:i/>
                <w:lang w:val="en-US"/>
              </w:rPr>
              <w:t>Jauns</w:t>
            </w:r>
            <w:proofErr w:type="spellEnd"/>
            <w:r w:rsidRPr="009361E9">
              <w:rPr>
                <w:rFonts w:ascii="Times New Roman" w:hAnsi="Times New Roman"/>
                <w:i/>
                <w:lang w:val="en-US"/>
              </w:rPr>
              <w:t xml:space="preserve">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proofErr w:type="spellStart"/>
            <w:r w:rsidRPr="009361E9">
              <w:rPr>
                <w:rFonts w:ascii="Times New Roman" w:hAnsi="Times New Roman"/>
                <w:i/>
                <w:lang w:val="en-US"/>
              </w:rPr>
              <w:t>Nodarīts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zaudējums</w:t>
            </w:r>
            <w:proofErr w:type="spellEnd"/>
            <w:r w:rsidRPr="009361E9">
              <w:rPr>
                <w:rFonts w:ascii="Times New Roman" w:hAnsi="Times New Roman"/>
                <w:i/>
                <w:lang w:val="en-US"/>
              </w:rPr>
              <w:t xml:space="preserve"> 3. </w:t>
            </w:r>
            <w:proofErr w:type="spellStart"/>
            <w:r w:rsidRPr="009361E9">
              <w:rPr>
                <w:rFonts w:ascii="Times New Roman" w:hAnsi="Times New Roman"/>
                <w:i/>
                <w:lang w:val="en-US"/>
              </w:rPr>
              <w:t>pusei</w:t>
            </w:r>
            <w:proofErr w:type="spellEnd"/>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1"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1"/>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77777777"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Pr="00564CDA">
        <w:rPr>
          <w:rFonts w:eastAsia="Times New Roman"/>
          <w:sz w:val="24"/>
          <w:szCs w:val="24"/>
        </w:rPr>
        <w:t>attiecīgās</w:t>
      </w:r>
      <w:r w:rsidRPr="00314CDD">
        <w:rPr>
          <w:rFonts w:eastAsia="Times New Roman"/>
          <w:sz w:val="24"/>
          <w:szCs w:val="24"/>
        </w:rPr>
        <w:t xml:space="preserve"> Nodaļas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 xml:space="preserve">Harijs </w:t>
      </w:r>
      <w:proofErr w:type="spellStart"/>
      <w:r w:rsidR="00BA68CB" w:rsidRPr="00BA68CB">
        <w:rPr>
          <w:rFonts w:ascii="Times New Roman" w:hAnsi="Times New Roman"/>
          <w:iCs/>
          <w:szCs w:val="24"/>
        </w:rPr>
        <w:t>Lācars</w:t>
      </w:r>
      <w:proofErr w:type="spellEnd"/>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E44C" w14:textId="77777777" w:rsidR="00E964A5" w:rsidRDefault="00E964A5">
      <w:r>
        <w:separator/>
      </w:r>
    </w:p>
  </w:endnote>
  <w:endnote w:type="continuationSeparator" w:id="0">
    <w:p w14:paraId="0453A1F8" w14:textId="77777777" w:rsidR="00E964A5" w:rsidRDefault="00E9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6728" w14:textId="77777777" w:rsidR="00E964A5" w:rsidRDefault="00E964A5">
      <w:r>
        <w:separator/>
      </w:r>
    </w:p>
  </w:footnote>
  <w:footnote w:type="continuationSeparator" w:id="0">
    <w:p w14:paraId="7E73125B" w14:textId="77777777" w:rsidR="00E964A5" w:rsidRDefault="00E9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4096B"/>
    <w:rsid w:val="00056389"/>
    <w:rsid w:val="0006108D"/>
    <w:rsid w:val="0007417A"/>
    <w:rsid w:val="00074BC5"/>
    <w:rsid w:val="00076AED"/>
    <w:rsid w:val="00077E40"/>
    <w:rsid w:val="0009427E"/>
    <w:rsid w:val="000B2712"/>
    <w:rsid w:val="000B4B84"/>
    <w:rsid w:val="000B4F5E"/>
    <w:rsid w:val="000C1A8E"/>
    <w:rsid w:val="000C20AE"/>
    <w:rsid w:val="000D4EC1"/>
    <w:rsid w:val="000E0026"/>
    <w:rsid w:val="00131BD5"/>
    <w:rsid w:val="00152B13"/>
    <w:rsid w:val="00187541"/>
    <w:rsid w:val="001D3448"/>
    <w:rsid w:val="001D6489"/>
    <w:rsid w:val="002061E3"/>
    <w:rsid w:val="002130C6"/>
    <w:rsid w:val="0022659D"/>
    <w:rsid w:val="00231160"/>
    <w:rsid w:val="00253A0C"/>
    <w:rsid w:val="0026258D"/>
    <w:rsid w:val="00272ECD"/>
    <w:rsid w:val="00274374"/>
    <w:rsid w:val="002956A8"/>
    <w:rsid w:val="002B3F92"/>
    <w:rsid w:val="002B5508"/>
    <w:rsid w:val="002B69EA"/>
    <w:rsid w:val="002C4A21"/>
    <w:rsid w:val="002C6725"/>
    <w:rsid w:val="002D55F9"/>
    <w:rsid w:val="002F1CD4"/>
    <w:rsid w:val="00314CDD"/>
    <w:rsid w:val="00323D2F"/>
    <w:rsid w:val="00356661"/>
    <w:rsid w:val="0035705F"/>
    <w:rsid w:val="00373639"/>
    <w:rsid w:val="003767B4"/>
    <w:rsid w:val="00393A54"/>
    <w:rsid w:val="003A0857"/>
    <w:rsid w:val="003A2603"/>
    <w:rsid w:val="003B6549"/>
    <w:rsid w:val="003B6640"/>
    <w:rsid w:val="003E033F"/>
    <w:rsid w:val="003E306C"/>
    <w:rsid w:val="003E5169"/>
    <w:rsid w:val="003F18CD"/>
    <w:rsid w:val="003F5292"/>
    <w:rsid w:val="003F613C"/>
    <w:rsid w:val="00402E18"/>
    <w:rsid w:val="00426642"/>
    <w:rsid w:val="004374FB"/>
    <w:rsid w:val="00446309"/>
    <w:rsid w:val="004612F5"/>
    <w:rsid w:val="0046226D"/>
    <w:rsid w:val="00481200"/>
    <w:rsid w:val="004E155E"/>
    <w:rsid w:val="004F0EAA"/>
    <w:rsid w:val="004F3FA7"/>
    <w:rsid w:val="0051091B"/>
    <w:rsid w:val="00524B2D"/>
    <w:rsid w:val="005376FE"/>
    <w:rsid w:val="0055618B"/>
    <w:rsid w:val="00556DE4"/>
    <w:rsid w:val="00564CDA"/>
    <w:rsid w:val="00565F4A"/>
    <w:rsid w:val="00576C0F"/>
    <w:rsid w:val="005811C3"/>
    <w:rsid w:val="00591523"/>
    <w:rsid w:val="005A0BC3"/>
    <w:rsid w:val="005A16C5"/>
    <w:rsid w:val="005A351D"/>
    <w:rsid w:val="005D0036"/>
    <w:rsid w:val="005D78E4"/>
    <w:rsid w:val="006038F8"/>
    <w:rsid w:val="00610288"/>
    <w:rsid w:val="0061171E"/>
    <w:rsid w:val="00617044"/>
    <w:rsid w:val="0063081D"/>
    <w:rsid w:val="00641BF2"/>
    <w:rsid w:val="00643681"/>
    <w:rsid w:val="0067189C"/>
    <w:rsid w:val="00686C7A"/>
    <w:rsid w:val="00691608"/>
    <w:rsid w:val="00697FE3"/>
    <w:rsid w:val="006B3BBB"/>
    <w:rsid w:val="006B5172"/>
    <w:rsid w:val="006C241B"/>
    <w:rsid w:val="006D6F22"/>
    <w:rsid w:val="006D7F56"/>
    <w:rsid w:val="006E1B02"/>
    <w:rsid w:val="00714F87"/>
    <w:rsid w:val="00734C53"/>
    <w:rsid w:val="00744759"/>
    <w:rsid w:val="00772C30"/>
    <w:rsid w:val="00780ABA"/>
    <w:rsid w:val="00781624"/>
    <w:rsid w:val="00792FF8"/>
    <w:rsid w:val="007A0955"/>
    <w:rsid w:val="007B4DAB"/>
    <w:rsid w:val="007B7801"/>
    <w:rsid w:val="007D06D8"/>
    <w:rsid w:val="007E7D23"/>
    <w:rsid w:val="00800394"/>
    <w:rsid w:val="008062CF"/>
    <w:rsid w:val="00812BBD"/>
    <w:rsid w:val="00824F79"/>
    <w:rsid w:val="00855E42"/>
    <w:rsid w:val="00866A13"/>
    <w:rsid w:val="0086780A"/>
    <w:rsid w:val="008A133B"/>
    <w:rsid w:val="008C771B"/>
    <w:rsid w:val="008C7833"/>
    <w:rsid w:val="008D495E"/>
    <w:rsid w:val="008D4A66"/>
    <w:rsid w:val="008D5D51"/>
    <w:rsid w:val="009361E9"/>
    <w:rsid w:val="00970D4C"/>
    <w:rsid w:val="00993EE2"/>
    <w:rsid w:val="00997765"/>
    <w:rsid w:val="009A54D3"/>
    <w:rsid w:val="009D09F1"/>
    <w:rsid w:val="009F4DCB"/>
    <w:rsid w:val="00A07CBE"/>
    <w:rsid w:val="00A236B8"/>
    <w:rsid w:val="00A34481"/>
    <w:rsid w:val="00A43334"/>
    <w:rsid w:val="00A43B64"/>
    <w:rsid w:val="00A44E9C"/>
    <w:rsid w:val="00A66341"/>
    <w:rsid w:val="00AA3C0B"/>
    <w:rsid w:val="00AA440D"/>
    <w:rsid w:val="00AA6CB3"/>
    <w:rsid w:val="00AB4723"/>
    <w:rsid w:val="00AD3971"/>
    <w:rsid w:val="00B4455B"/>
    <w:rsid w:val="00B50B35"/>
    <w:rsid w:val="00B5159B"/>
    <w:rsid w:val="00B758CA"/>
    <w:rsid w:val="00B82C59"/>
    <w:rsid w:val="00B92A37"/>
    <w:rsid w:val="00BA68CB"/>
    <w:rsid w:val="00BC53E4"/>
    <w:rsid w:val="00C12CF1"/>
    <w:rsid w:val="00C15A2A"/>
    <w:rsid w:val="00C1685F"/>
    <w:rsid w:val="00C20135"/>
    <w:rsid w:val="00C22A1B"/>
    <w:rsid w:val="00C42F42"/>
    <w:rsid w:val="00C47847"/>
    <w:rsid w:val="00C72CC3"/>
    <w:rsid w:val="00C77547"/>
    <w:rsid w:val="00CB62E8"/>
    <w:rsid w:val="00CC1C0D"/>
    <w:rsid w:val="00CC2BC2"/>
    <w:rsid w:val="00CD62A4"/>
    <w:rsid w:val="00D06353"/>
    <w:rsid w:val="00D5672A"/>
    <w:rsid w:val="00D77C78"/>
    <w:rsid w:val="00D80027"/>
    <w:rsid w:val="00D862FF"/>
    <w:rsid w:val="00DB38E0"/>
    <w:rsid w:val="00DB4CE0"/>
    <w:rsid w:val="00DF2A6F"/>
    <w:rsid w:val="00DF374E"/>
    <w:rsid w:val="00E014C3"/>
    <w:rsid w:val="00E054D6"/>
    <w:rsid w:val="00E11D42"/>
    <w:rsid w:val="00E146D2"/>
    <w:rsid w:val="00E30894"/>
    <w:rsid w:val="00E325C8"/>
    <w:rsid w:val="00E345CE"/>
    <w:rsid w:val="00E43E8D"/>
    <w:rsid w:val="00E92345"/>
    <w:rsid w:val="00E94939"/>
    <w:rsid w:val="00E964A5"/>
    <w:rsid w:val="00F12B74"/>
    <w:rsid w:val="00F15996"/>
    <w:rsid w:val="00F20D10"/>
    <w:rsid w:val="00F231FB"/>
    <w:rsid w:val="00F26219"/>
    <w:rsid w:val="00F37756"/>
    <w:rsid w:val="00F423C8"/>
    <w:rsid w:val="00F545C8"/>
    <w:rsid w:val="00F72C46"/>
    <w:rsid w:val="00F815D4"/>
    <w:rsid w:val="00F81908"/>
    <w:rsid w:val="00F844D0"/>
    <w:rsid w:val="00F86EBC"/>
    <w:rsid w:val="00FA4D54"/>
    <w:rsid w:val="00FB19F3"/>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val="lv-LV"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2865</Words>
  <Characters>1634</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Sanita Muižniece</cp:lastModifiedBy>
  <cp:revision>2</cp:revision>
  <cp:lastPrinted>2016-09-08T06:59:00Z</cp:lastPrinted>
  <dcterms:created xsi:type="dcterms:W3CDTF">2021-11-08T14:45:00Z</dcterms:created>
  <dcterms:modified xsi:type="dcterms:W3CDTF">2021-11-08T14:45:00Z</dcterms:modified>
</cp:coreProperties>
</file>