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"/>
        <w:tblOverlap w:val="never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0376"/>
      </w:tblGrid>
      <w:tr w:rsidR="001D26B8" w:rsidRPr="00052138" w14:paraId="6B4F5594" w14:textId="77777777" w:rsidTr="001D26B8">
        <w:trPr>
          <w:trHeight w:val="322"/>
        </w:trPr>
        <w:tc>
          <w:tcPr>
            <w:tcW w:w="3227" w:type="dxa"/>
            <w:shd w:val="clear" w:color="auto" w:fill="auto"/>
            <w:vAlign w:val="center"/>
          </w:tcPr>
          <w:p w14:paraId="37C69CD4" w14:textId="77777777" w:rsidR="001D26B8" w:rsidRPr="00052138" w:rsidRDefault="001D26B8" w:rsidP="001D26B8">
            <w:pPr>
              <w:spacing w:after="0" w:line="240" w:lineRule="auto"/>
              <w:rPr>
                <w:rFonts w:cstheme="minorHAnsi"/>
                <w:sz w:val="24"/>
                <w:szCs w:val="24"/>
                <w:lang w:val="lv-LV"/>
              </w:rPr>
            </w:pPr>
            <w:r w:rsidRPr="00052138">
              <w:rPr>
                <w:rFonts w:cstheme="minorHAnsi"/>
                <w:sz w:val="24"/>
                <w:szCs w:val="24"/>
                <w:lang w:val="lv-LV"/>
              </w:rPr>
              <w:t xml:space="preserve">Projekta Nr. </w:t>
            </w:r>
          </w:p>
        </w:tc>
        <w:tc>
          <w:tcPr>
            <w:tcW w:w="10376" w:type="dxa"/>
            <w:shd w:val="clear" w:color="auto" w:fill="auto"/>
            <w:vAlign w:val="center"/>
          </w:tcPr>
          <w:p w14:paraId="597B53EB" w14:textId="77777777" w:rsidR="001D26B8" w:rsidRPr="00052138" w:rsidRDefault="001D26B8" w:rsidP="001D26B8">
            <w:pPr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  <w:lang w:val="lv-LV"/>
              </w:rPr>
            </w:pPr>
            <w:r w:rsidRPr="00052138">
              <w:rPr>
                <w:rFonts w:cstheme="minorHAnsi"/>
                <w:b/>
                <w:color w:val="000000"/>
                <w:sz w:val="24"/>
                <w:szCs w:val="24"/>
                <w:lang w:val="lv-LV"/>
              </w:rPr>
              <w:t>LLI-280</w:t>
            </w:r>
          </w:p>
        </w:tc>
      </w:tr>
      <w:tr w:rsidR="001D26B8" w:rsidRPr="00052138" w14:paraId="5035895C" w14:textId="77777777" w:rsidTr="001D26B8">
        <w:trPr>
          <w:trHeight w:val="322"/>
        </w:trPr>
        <w:tc>
          <w:tcPr>
            <w:tcW w:w="3227" w:type="dxa"/>
            <w:shd w:val="clear" w:color="auto" w:fill="auto"/>
            <w:vAlign w:val="center"/>
          </w:tcPr>
          <w:p w14:paraId="5D930E98" w14:textId="77777777" w:rsidR="001D26B8" w:rsidRPr="00052138" w:rsidRDefault="001D26B8" w:rsidP="001D26B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lv-LV"/>
              </w:rPr>
            </w:pPr>
            <w:r w:rsidRPr="00052138">
              <w:rPr>
                <w:rFonts w:cstheme="minorHAnsi"/>
                <w:sz w:val="24"/>
                <w:szCs w:val="24"/>
                <w:lang w:val="lv-LV"/>
              </w:rPr>
              <w:t>Projekta nosaukums</w:t>
            </w:r>
          </w:p>
        </w:tc>
        <w:tc>
          <w:tcPr>
            <w:tcW w:w="10376" w:type="dxa"/>
            <w:shd w:val="clear" w:color="auto" w:fill="auto"/>
            <w:vAlign w:val="center"/>
          </w:tcPr>
          <w:p w14:paraId="6DA3B28F" w14:textId="77777777" w:rsidR="001D26B8" w:rsidRPr="00052138" w:rsidRDefault="001D26B8" w:rsidP="001D26B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lv-LV"/>
              </w:rPr>
            </w:pPr>
            <w:r w:rsidRPr="00052138">
              <w:rPr>
                <w:rFonts w:cstheme="minorHAnsi"/>
                <w:color w:val="000000"/>
                <w:sz w:val="24"/>
                <w:szCs w:val="24"/>
                <w:lang w:val="lv-LV"/>
              </w:rPr>
              <w:t>Ceļu infrastruktūras uzlabošana labu reģionālo centru savienojumu</w:t>
            </w:r>
          </w:p>
          <w:p w14:paraId="3C0613E2" w14:textId="77777777" w:rsidR="001D26B8" w:rsidRPr="00052138" w:rsidRDefault="001D26B8" w:rsidP="001D26B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lv-LV"/>
              </w:rPr>
            </w:pPr>
            <w:r w:rsidRPr="00052138">
              <w:rPr>
                <w:rFonts w:cstheme="minorHAnsi"/>
                <w:color w:val="000000"/>
                <w:sz w:val="24"/>
                <w:szCs w:val="24"/>
                <w:lang w:val="lv-LV"/>
              </w:rPr>
              <w:t>nodrošināšanai un darbaspēka mobilitātes veicināšanai pierobežas teritorijā</w:t>
            </w:r>
          </w:p>
        </w:tc>
      </w:tr>
      <w:tr w:rsidR="001D26B8" w:rsidRPr="00052138" w14:paraId="622E63E9" w14:textId="77777777" w:rsidTr="001D26B8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14:paraId="30E37A78" w14:textId="77777777" w:rsidR="001D26B8" w:rsidRPr="00052138" w:rsidRDefault="001D26B8" w:rsidP="001D26B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lv-LV"/>
              </w:rPr>
            </w:pPr>
            <w:r w:rsidRPr="00052138">
              <w:rPr>
                <w:rFonts w:cstheme="minorHAnsi"/>
                <w:sz w:val="24"/>
                <w:szCs w:val="24"/>
                <w:lang w:val="lv-LV"/>
              </w:rPr>
              <w:t xml:space="preserve">Projekta akronīms </w:t>
            </w:r>
            <w:r w:rsidRPr="00052138" w:rsidDel="009F0CA8">
              <w:rPr>
                <w:rFonts w:cstheme="minorHAnsi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0376" w:type="dxa"/>
            <w:shd w:val="clear" w:color="auto" w:fill="auto"/>
            <w:vAlign w:val="center"/>
          </w:tcPr>
          <w:p w14:paraId="21DE2496" w14:textId="77777777" w:rsidR="001D26B8" w:rsidRPr="00052138" w:rsidRDefault="001D26B8" w:rsidP="001D26B8">
            <w:pPr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  <w:lang w:val="lv-LV"/>
              </w:rPr>
            </w:pPr>
            <w:r w:rsidRPr="00052138">
              <w:rPr>
                <w:rFonts w:cstheme="minorHAnsi"/>
                <w:b/>
                <w:color w:val="000000"/>
                <w:sz w:val="24"/>
                <w:szCs w:val="24"/>
                <w:lang w:val="lv-LV"/>
              </w:rPr>
              <w:t>EASYCROSSING</w:t>
            </w:r>
          </w:p>
        </w:tc>
      </w:tr>
      <w:tr w:rsidR="001D26B8" w:rsidRPr="00052138" w14:paraId="1A400C53" w14:textId="77777777" w:rsidTr="001D26B8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14:paraId="28BBBE2F" w14:textId="77777777" w:rsidR="001D26B8" w:rsidRPr="00052138" w:rsidRDefault="001D26B8" w:rsidP="001D26B8">
            <w:pPr>
              <w:spacing w:after="0" w:line="240" w:lineRule="auto"/>
              <w:rPr>
                <w:rFonts w:cstheme="minorHAnsi"/>
                <w:sz w:val="24"/>
                <w:szCs w:val="24"/>
                <w:lang w:val="lv-LV"/>
              </w:rPr>
            </w:pPr>
            <w:r w:rsidRPr="00052138">
              <w:rPr>
                <w:rFonts w:cstheme="minorHAnsi"/>
                <w:sz w:val="24"/>
                <w:szCs w:val="24"/>
                <w:lang w:val="lv-LV"/>
              </w:rPr>
              <w:t xml:space="preserve">Partneris </w:t>
            </w:r>
          </w:p>
        </w:tc>
        <w:tc>
          <w:tcPr>
            <w:tcW w:w="10376" w:type="dxa"/>
            <w:shd w:val="clear" w:color="auto" w:fill="auto"/>
            <w:vAlign w:val="center"/>
          </w:tcPr>
          <w:p w14:paraId="457BD110" w14:textId="77777777" w:rsidR="001D26B8" w:rsidRPr="00052138" w:rsidRDefault="001D26B8" w:rsidP="001D26B8">
            <w:pPr>
              <w:spacing w:after="0" w:line="240" w:lineRule="auto"/>
              <w:rPr>
                <w:rFonts w:cstheme="minorHAnsi"/>
                <w:sz w:val="24"/>
                <w:szCs w:val="24"/>
                <w:lang w:val="lv-LV"/>
              </w:rPr>
            </w:pPr>
            <w:r w:rsidRPr="00052138">
              <w:rPr>
                <w:rFonts w:cstheme="minorHAnsi"/>
                <w:sz w:val="24"/>
                <w:szCs w:val="24"/>
                <w:lang w:val="lv-LV"/>
              </w:rPr>
              <w:t>VAS “Latvijas Valsts ceļi”</w:t>
            </w:r>
          </w:p>
          <w:p w14:paraId="3A10314C" w14:textId="77777777" w:rsidR="001D26B8" w:rsidRPr="00052138" w:rsidRDefault="001D26B8" w:rsidP="001D26B8">
            <w:pPr>
              <w:spacing w:after="0" w:line="240" w:lineRule="auto"/>
              <w:rPr>
                <w:rFonts w:cstheme="minorHAnsi"/>
                <w:sz w:val="24"/>
                <w:szCs w:val="24"/>
                <w:lang w:val="lv-LV"/>
              </w:rPr>
            </w:pPr>
            <w:r w:rsidRPr="00052138">
              <w:rPr>
                <w:rFonts w:cstheme="minorHAnsi"/>
                <w:sz w:val="24"/>
                <w:szCs w:val="24"/>
                <w:lang w:val="lv-LV"/>
              </w:rPr>
              <w:t xml:space="preserve">(LR Satiksmes ministrija) </w:t>
            </w:r>
          </w:p>
        </w:tc>
      </w:tr>
    </w:tbl>
    <w:p w14:paraId="32E09077" w14:textId="77777777" w:rsidR="001D26B8" w:rsidRPr="00052138" w:rsidRDefault="001D26B8" w:rsidP="00F76F39">
      <w:pPr>
        <w:spacing w:after="0" w:line="240" w:lineRule="auto"/>
        <w:rPr>
          <w:rFonts w:cstheme="minorHAnsi"/>
          <w:b/>
          <w:caps/>
          <w:sz w:val="24"/>
          <w:szCs w:val="20"/>
          <w:lang w:val="lv-LV"/>
        </w:rPr>
      </w:pPr>
    </w:p>
    <w:p w14:paraId="6B599BCC" w14:textId="318E15A1" w:rsidR="00F76F39" w:rsidRPr="00052138" w:rsidRDefault="00F76F39" w:rsidP="00F76F39">
      <w:pPr>
        <w:spacing w:after="0" w:line="240" w:lineRule="auto"/>
        <w:rPr>
          <w:rFonts w:cstheme="minorHAnsi"/>
          <w:b/>
          <w:caps/>
          <w:sz w:val="32"/>
          <w:szCs w:val="24"/>
          <w:lang w:val="lv-LV"/>
        </w:rPr>
      </w:pPr>
      <w:r w:rsidRPr="00052138">
        <w:rPr>
          <w:rFonts w:cstheme="minorHAnsi"/>
          <w:b/>
          <w:caps/>
          <w:sz w:val="32"/>
          <w:szCs w:val="24"/>
          <w:lang w:val="lv-LV"/>
        </w:rPr>
        <w:t>Projekta rezultātu indikatora vērtības noteikšana un novērtēšana</w:t>
      </w:r>
    </w:p>
    <w:p w14:paraId="0A4A0390" w14:textId="4AF82379" w:rsidR="00F76F39" w:rsidRPr="00052138" w:rsidRDefault="00F76F39" w:rsidP="00F76F39">
      <w:pPr>
        <w:spacing w:after="0" w:line="240" w:lineRule="auto"/>
        <w:rPr>
          <w:rFonts w:cstheme="minorHAnsi"/>
          <w:b/>
          <w:caps/>
          <w:color w:val="365F91" w:themeColor="accent1" w:themeShade="BF"/>
          <w:sz w:val="32"/>
          <w:szCs w:val="24"/>
          <w:lang w:val="lv-LV"/>
        </w:rPr>
      </w:pPr>
      <w:r w:rsidRPr="00052138">
        <w:rPr>
          <w:rFonts w:cstheme="minorHAnsi"/>
          <w:b/>
          <w:caps/>
          <w:color w:val="365F91" w:themeColor="accent1" w:themeShade="BF"/>
          <w:sz w:val="32"/>
          <w:szCs w:val="24"/>
          <w:lang w:val="lv-LV"/>
        </w:rPr>
        <w:t xml:space="preserve">indikatoru vērtības </w:t>
      </w:r>
      <w:r w:rsidR="00BA0D1F" w:rsidRPr="00052138">
        <w:rPr>
          <w:rFonts w:cstheme="minorHAnsi"/>
          <w:b/>
          <w:caps/>
          <w:color w:val="365F91" w:themeColor="accent1" w:themeShade="BF"/>
          <w:sz w:val="32"/>
          <w:szCs w:val="24"/>
          <w:lang w:val="lv-LV"/>
        </w:rPr>
        <w:t>PĒC INVESTĪCIJĀM</w:t>
      </w:r>
      <w:r w:rsidRPr="00052138">
        <w:rPr>
          <w:rFonts w:cstheme="minorHAnsi"/>
          <w:b/>
          <w:caps/>
          <w:color w:val="365F91" w:themeColor="accent1" w:themeShade="BF"/>
          <w:sz w:val="32"/>
          <w:szCs w:val="24"/>
          <w:lang w:val="lv-LV"/>
        </w:rPr>
        <w:t xml:space="preserve">  </w:t>
      </w:r>
    </w:p>
    <w:p w14:paraId="6BD750AA" w14:textId="7E8C2D30" w:rsidR="00462FBB" w:rsidRPr="00052138" w:rsidRDefault="00462FBB" w:rsidP="00F76F39">
      <w:pPr>
        <w:spacing w:after="0" w:line="240" w:lineRule="auto"/>
        <w:rPr>
          <w:rFonts w:cstheme="minorHAnsi"/>
          <w:sz w:val="24"/>
          <w:szCs w:val="24"/>
          <w:lang w:val="lv-LV"/>
        </w:rPr>
      </w:pPr>
      <w:r w:rsidRPr="00052138">
        <w:rPr>
          <w:rFonts w:cstheme="minorHAnsi"/>
          <w:sz w:val="24"/>
          <w:szCs w:val="24"/>
          <w:lang w:val="lv-LV"/>
        </w:rPr>
        <w:t>T1.2</w:t>
      </w:r>
      <w:r w:rsidR="00F76F39" w:rsidRPr="00052138">
        <w:rPr>
          <w:rFonts w:cstheme="minorHAnsi"/>
          <w:sz w:val="24"/>
          <w:szCs w:val="24"/>
          <w:lang w:val="lv-LV"/>
        </w:rPr>
        <w:t xml:space="preserve"> Aktivitāte, T1.2.1</w:t>
      </w:r>
      <w:r w:rsidR="009C7D68" w:rsidRPr="00052138">
        <w:rPr>
          <w:rFonts w:cstheme="minorHAnsi"/>
          <w:sz w:val="24"/>
          <w:szCs w:val="24"/>
          <w:lang w:val="lv-LV"/>
        </w:rPr>
        <w:t xml:space="preserve"> </w:t>
      </w:r>
      <w:r w:rsidR="00F76F39" w:rsidRPr="00052138">
        <w:rPr>
          <w:rFonts w:cstheme="minorHAnsi"/>
          <w:sz w:val="24"/>
          <w:szCs w:val="24"/>
          <w:lang w:val="lv-LV"/>
        </w:rPr>
        <w:t xml:space="preserve">nodevums </w:t>
      </w:r>
    </w:p>
    <w:p w14:paraId="62BFBC64" w14:textId="77777777" w:rsidR="00F76F39" w:rsidRPr="00052138" w:rsidRDefault="00F76F39" w:rsidP="00F76F39">
      <w:pPr>
        <w:spacing w:after="0" w:line="240" w:lineRule="auto"/>
        <w:rPr>
          <w:rFonts w:cstheme="minorHAnsi"/>
          <w:sz w:val="20"/>
          <w:szCs w:val="20"/>
          <w:lang w:val="lv-LV"/>
        </w:rPr>
      </w:pPr>
    </w:p>
    <w:p w14:paraId="7875A0B7" w14:textId="0C493941" w:rsidR="00462FBB" w:rsidRPr="00052138" w:rsidRDefault="00462FBB" w:rsidP="00F76F39">
      <w:pPr>
        <w:spacing w:after="0" w:line="240" w:lineRule="auto"/>
        <w:rPr>
          <w:rFonts w:cstheme="minorHAnsi"/>
          <w:b/>
          <w:sz w:val="24"/>
          <w:szCs w:val="24"/>
          <w:lang w:val="lv-LV"/>
        </w:rPr>
      </w:pPr>
      <w:r w:rsidRPr="00052138">
        <w:rPr>
          <w:rFonts w:cstheme="minorHAnsi"/>
          <w:b/>
          <w:sz w:val="24"/>
          <w:szCs w:val="24"/>
          <w:lang w:val="lv-LV"/>
        </w:rPr>
        <w:t>Uzskaites metode</w:t>
      </w:r>
      <w:r w:rsidRPr="00052138">
        <w:rPr>
          <w:rFonts w:cstheme="minorHAnsi"/>
          <w:sz w:val="24"/>
          <w:szCs w:val="24"/>
          <w:lang w:val="lv-LV"/>
        </w:rPr>
        <w:t xml:space="preserve">: ar </w:t>
      </w:r>
      <w:r w:rsidR="00052138" w:rsidRPr="00052138">
        <w:rPr>
          <w:rFonts w:cstheme="minorHAnsi"/>
          <w:sz w:val="24"/>
          <w:szCs w:val="24"/>
          <w:lang w:val="lv-LV"/>
        </w:rPr>
        <w:t>pārvietojamo</w:t>
      </w:r>
      <w:r w:rsidRPr="00052138">
        <w:rPr>
          <w:rFonts w:cstheme="minorHAnsi"/>
          <w:sz w:val="24"/>
          <w:szCs w:val="24"/>
          <w:lang w:val="lv-LV"/>
        </w:rPr>
        <w:t xml:space="preserve"> radara tipa satiksmes uzskaites </w:t>
      </w:r>
      <w:r w:rsidR="00052138" w:rsidRPr="00052138">
        <w:rPr>
          <w:rFonts w:cstheme="minorHAnsi"/>
          <w:sz w:val="24"/>
          <w:szCs w:val="24"/>
          <w:lang w:val="lv-LV"/>
        </w:rPr>
        <w:t>iekārtu</w:t>
      </w:r>
    </w:p>
    <w:p w14:paraId="4684A4F2" w14:textId="77777777" w:rsidR="00462FBB" w:rsidRPr="00052138" w:rsidRDefault="00462FBB" w:rsidP="00F76F39">
      <w:pPr>
        <w:spacing w:after="0" w:line="240" w:lineRule="auto"/>
        <w:rPr>
          <w:rFonts w:cstheme="minorHAnsi"/>
          <w:b/>
          <w:sz w:val="24"/>
          <w:szCs w:val="24"/>
          <w:lang w:val="lv-LV"/>
        </w:rPr>
      </w:pPr>
    </w:p>
    <w:tbl>
      <w:tblPr>
        <w:tblW w:w="13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403"/>
        <w:gridCol w:w="876"/>
        <w:gridCol w:w="876"/>
        <w:gridCol w:w="962"/>
        <w:gridCol w:w="1114"/>
        <w:gridCol w:w="992"/>
        <w:gridCol w:w="861"/>
        <w:gridCol w:w="907"/>
        <w:gridCol w:w="925"/>
        <w:gridCol w:w="992"/>
        <w:gridCol w:w="826"/>
      </w:tblGrid>
      <w:tr w:rsidR="00052138" w:rsidRPr="00052138" w14:paraId="2EEEA27B" w14:textId="0D6A4F64" w:rsidTr="00052138">
        <w:trPr>
          <w:trHeight w:val="1515"/>
        </w:trPr>
        <w:tc>
          <w:tcPr>
            <w:tcW w:w="870" w:type="dxa"/>
            <w:shd w:val="clear" w:color="auto" w:fill="auto"/>
            <w:textDirection w:val="btLr"/>
            <w:vAlign w:val="center"/>
            <w:hideMark/>
          </w:tcPr>
          <w:p w14:paraId="3B704FD5" w14:textId="77777777" w:rsidR="001B2928" w:rsidRPr="00052138" w:rsidRDefault="001B2928" w:rsidP="001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Ceļa Nr.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5EB36AF4" w14:textId="77777777" w:rsidR="001B2928" w:rsidRPr="00052138" w:rsidRDefault="001B2928" w:rsidP="001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Autoceļa nosaukums</w:t>
            </w:r>
          </w:p>
        </w:tc>
        <w:tc>
          <w:tcPr>
            <w:tcW w:w="876" w:type="dxa"/>
            <w:shd w:val="clear" w:color="auto" w:fill="auto"/>
            <w:textDirection w:val="btLr"/>
            <w:vAlign w:val="center"/>
            <w:hideMark/>
          </w:tcPr>
          <w:p w14:paraId="241B04E9" w14:textId="77777777" w:rsidR="001B2928" w:rsidRPr="00052138" w:rsidRDefault="001B2928" w:rsidP="0072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Posma sākums (km)</w:t>
            </w:r>
          </w:p>
        </w:tc>
        <w:tc>
          <w:tcPr>
            <w:tcW w:w="876" w:type="dxa"/>
            <w:textDirection w:val="btLr"/>
            <w:vAlign w:val="center"/>
          </w:tcPr>
          <w:p w14:paraId="6AA23259" w14:textId="213EDC1C" w:rsidR="001B2928" w:rsidRPr="00052138" w:rsidRDefault="001B2928" w:rsidP="0072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Posma beigas (km)</w:t>
            </w:r>
          </w:p>
        </w:tc>
        <w:tc>
          <w:tcPr>
            <w:tcW w:w="962" w:type="dxa"/>
            <w:textDirection w:val="btLr"/>
            <w:vAlign w:val="bottom"/>
          </w:tcPr>
          <w:p w14:paraId="025AED6B" w14:textId="798CFEEB" w:rsidR="001B2928" w:rsidRPr="00052138" w:rsidRDefault="001B2928" w:rsidP="001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Iepriekšējo gadu </w:t>
            </w:r>
            <w:r w:rsidR="000E587C" w:rsidRPr="00052138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GVDI</w:t>
            </w:r>
          </w:p>
        </w:tc>
        <w:tc>
          <w:tcPr>
            <w:tcW w:w="1114" w:type="dxa"/>
            <w:textDirection w:val="btLr"/>
            <w:vAlign w:val="bottom"/>
          </w:tcPr>
          <w:p w14:paraId="7552C5AF" w14:textId="56D40C3E" w:rsidR="001B2928" w:rsidRPr="00052138" w:rsidRDefault="001B2928" w:rsidP="001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t.sk., iepriekšējo gadu </w:t>
            </w:r>
            <w:r w:rsidR="000E587C" w:rsidRPr="00052138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KT</w:t>
            </w:r>
            <w:r w:rsidRPr="00052138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 %</w:t>
            </w:r>
          </w:p>
        </w:tc>
        <w:tc>
          <w:tcPr>
            <w:tcW w:w="992" w:type="dxa"/>
            <w:shd w:val="clear" w:color="auto" w:fill="C6D9F1" w:themeFill="text2" w:themeFillTint="33"/>
            <w:textDirection w:val="btLr"/>
            <w:vAlign w:val="center"/>
          </w:tcPr>
          <w:p w14:paraId="4862F553" w14:textId="79FEE5B5" w:rsidR="001B2928" w:rsidRPr="00052138" w:rsidRDefault="001B2928" w:rsidP="0072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GVDI</w:t>
            </w:r>
            <w:r w:rsidRPr="00052138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 2018</w:t>
            </w:r>
          </w:p>
        </w:tc>
        <w:tc>
          <w:tcPr>
            <w:tcW w:w="861" w:type="dxa"/>
            <w:shd w:val="clear" w:color="auto" w:fill="C6D9F1" w:themeFill="text2" w:themeFillTint="33"/>
            <w:textDirection w:val="btLr"/>
            <w:vAlign w:val="center"/>
          </w:tcPr>
          <w:p w14:paraId="176A4453" w14:textId="751A47D3" w:rsidR="001B2928" w:rsidRPr="00052138" w:rsidRDefault="001B2928" w:rsidP="0072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t.sk. </w:t>
            </w:r>
            <w:r w:rsidRPr="00052138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KT</w:t>
            </w:r>
            <w:r w:rsidRPr="00052138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 (%)</w:t>
            </w:r>
          </w:p>
        </w:tc>
        <w:tc>
          <w:tcPr>
            <w:tcW w:w="907" w:type="dxa"/>
            <w:shd w:val="clear" w:color="000000" w:fill="D9D9D9"/>
            <w:textDirection w:val="btLr"/>
            <w:vAlign w:val="center"/>
          </w:tcPr>
          <w:p w14:paraId="3DAACC43" w14:textId="27E1B6D2" w:rsidR="001B2928" w:rsidRPr="00052138" w:rsidRDefault="001B2928" w:rsidP="0072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052138">
              <w:rPr>
                <w:rFonts w:ascii="Times New Roman" w:hAnsi="Times New Roman" w:cs="Times New Roman"/>
                <w:b/>
                <w:bCs/>
                <w:lang w:val="lv-LV"/>
              </w:rPr>
              <w:t>GVDI 2019</w:t>
            </w:r>
          </w:p>
        </w:tc>
        <w:tc>
          <w:tcPr>
            <w:tcW w:w="925" w:type="dxa"/>
            <w:shd w:val="clear" w:color="000000" w:fill="D9D9D9"/>
            <w:textDirection w:val="btLr"/>
            <w:vAlign w:val="center"/>
          </w:tcPr>
          <w:p w14:paraId="265A3255" w14:textId="7368B4B2" w:rsidR="001B2928" w:rsidRPr="00052138" w:rsidRDefault="001B2928" w:rsidP="0072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052138">
              <w:rPr>
                <w:rFonts w:ascii="Times New Roman" w:hAnsi="Times New Roman" w:cs="Times New Roman"/>
                <w:b/>
                <w:bCs/>
                <w:lang w:val="lv-LV"/>
              </w:rPr>
              <w:t>t.sk., KT% 2019</w:t>
            </w:r>
          </w:p>
        </w:tc>
        <w:tc>
          <w:tcPr>
            <w:tcW w:w="992" w:type="dxa"/>
            <w:shd w:val="clear" w:color="auto" w:fill="EAF1DD" w:themeFill="accent3" w:themeFillTint="33"/>
            <w:textDirection w:val="btLr"/>
            <w:vAlign w:val="center"/>
          </w:tcPr>
          <w:p w14:paraId="42746773" w14:textId="5B4401AE" w:rsidR="001B2928" w:rsidRPr="00052138" w:rsidRDefault="001B2928" w:rsidP="00722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052138">
              <w:rPr>
                <w:rFonts w:ascii="Times New Roman" w:hAnsi="Times New Roman" w:cs="Times New Roman"/>
                <w:b/>
                <w:bCs/>
                <w:lang w:val="lv-LV"/>
              </w:rPr>
              <w:t>GVDI 2020</w:t>
            </w:r>
          </w:p>
        </w:tc>
        <w:tc>
          <w:tcPr>
            <w:tcW w:w="826" w:type="dxa"/>
            <w:shd w:val="clear" w:color="auto" w:fill="EAF1DD" w:themeFill="accent3" w:themeFillTint="33"/>
            <w:textDirection w:val="btLr"/>
            <w:vAlign w:val="center"/>
          </w:tcPr>
          <w:p w14:paraId="06B1827E" w14:textId="0671FE93" w:rsidR="001B2928" w:rsidRPr="00052138" w:rsidRDefault="001B2928" w:rsidP="00722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052138">
              <w:rPr>
                <w:rFonts w:ascii="Times New Roman" w:hAnsi="Times New Roman" w:cs="Times New Roman"/>
                <w:b/>
                <w:bCs/>
                <w:lang w:val="lv-LV"/>
              </w:rPr>
              <w:t>t.sk, KT% 2020</w:t>
            </w:r>
          </w:p>
        </w:tc>
      </w:tr>
      <w:tr w:rsidR="00052138" w:rsidRPr="00052138" w14:paraId="42D9007B" w14:textId="60CE03C1" w:rsidTr="00052138">
        <w:trPr>
          <w:trHeight w:val="6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13DC2752" w14:textId="77777777" w:rsidR="001B2928" w:rsidRPr="00052138" w:rsidRDefault="001B2928" w:rsidP="001B292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val="lv-LV" w:eastAsia="lv-LV"/>
              </w:rPr>
            </w:pPr>
            <w:r w:rsidRPr="00052138">
              <w:rPr>
                <w:rFonts w:ascii="Times New Roman Baltic" w:eastAsia="Times New Roman" w:hAnsi="Times New Roman Baltic" w:cs="Times New Roman Baltic"/>
                <w:sz w:val="24"/>
                <w:szCs w:val="24"/>
                <w:lang w:val="lv-LV" w:eastAsia="lv-LV"/>
              </w:rPr>
              <w:t>P75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7FDD3812" w14:textId="4C27BC7B" w:rsidR="001B2928" w:rsidRPr="00052138" w:rsidRDefault="001B2928" w:rsidP="001B292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val="lv-LV" w:eastAsia="lv-LV"/>
              </w:rPr>
            </w:pPr>
            <w:r w:rsidRPr="00052138">
              <w:rPr>
                <w:rFonts w:ascii="Times New Roman Baltic" w:eastAsia="Times New Roman" w:hAnsi="Times New Roman Baltic" w:cs="Times New Roman Baltic"/>
                <w:sz w:val="24"/>
                <w:szCs w:val="24"/>
                <w:lang w:val="lv-LV" w:eastAsia="lv-LV"/>
              </w:rPr>
              <w:t xml:space="preserve">Jēkabpils - LR robeža (Nereta); </w:t>
            </w:r>
            <w:r w:rsidRPr="00052138">
              <w:rPr>
                <w:rFonts w:ascii="Times New Roman Baltic" w:eastAsia="Times New Roman" w:hAnsi="Times New Roman Baltic" w:cs="Times New Roman Baltic"/>
                <w:i/>
                <w:iCs/>
                <w:sz w:val="24"/>
                <w:szCs w:val="24"/>
                <w:lang w:val="lv-LV" w:eastAsia="lv-LV"/>
              </w:rPr>
              <w:t>būvdarbi pabeigti 2018.gada septembrī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64BD0F16" w14:textId="77777777" w:rsidR="001B2928" w:rsidRPr="00052138" w:rsidRDefault="001B2928" w:rsidP="001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lang w:val="lv-LV" w:eastAsia="lv-LV"/>
              </w:rPr>
              <w:t>56,215</w:t>
            </w:r>
          </w:p>
        </w:tc>
        <w:tc>
          <w:tcPr>
            <w:tcW w:w="876" w:type="dxa"/>
            <w:vAlign w:val="center"/>
          </w:tcPr>
          <w:p w14:paraId="40EAFEF1" w14:textId="038EE85B" w:rsidR="001B2928" w:rsidRPr="00052138" w:rsidRDefault="001B2928" w:rsidP="001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lang w:val="lv-LV" w:eastAsia="lv-LV"/>
              </w:rPr>
              <w:t>60,675</w:t>
            </w:r>
          </w:p>
        </w:tc>
        <w:tc>
          <w:tcPr>
            <w:tcW w:w="962" w:type="dxa"/>
            <w:vAlign w:val="center"/>
          </w:tcPr>
          <w:p w14:paraId="418C73D2" w14:textId="1D8718F8" w:rsidR="001B2928" w:rsidRPr="00052138" w:rsidRDefault="001B2928" w:rsidP="001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lang w:val="lv-LV" w:eastAsia="lv-LV"/>
              </w:rPr>
              <w:t>93</w:t>
            </w:r>
          </w:p>
        </w:tc>
        <w:tc>
          <w:tcPr>
            <w:tcW w:w="1114" w:type="dxa"/>
            <w:vAlign w:val="center"/>
          </w:tcPr>
          <w:p w14:paraId="444422F2" w14:textId="62D59292" w:rsidR="001B2928" w:rsidRPr="00052138" w:rsidRDefault="001B2928" w:rsidP="001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lang w:val="lv-LV" w:eastAsia="lv-LV"/>
              </w:rPr>
              <w:t>14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631CDA39" w14:textId="6F74DCD5" w:rsidR="001B2928" w:rsidRPr="00052138" w:rsidRDefault="001B2928" w:rsidP="0072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lang w:val="lv-LV" w:eastAsia="lv-LV"/>
              </w:rPr>
              <w:t>228</w:t>
            </w:r>
          </w:p>
        </w:tc>
        <w:tc>
          <w:tcPr>
            <w:tcW w:w="861" w:type="dxa"/>
            <w:shd w:val="clear" w:color="auto" w:fill="C6D9F1" w:themeFill="text2" w:themeFillTint="33"/>
            <w:vAlign w:val="center"/>
          </w:tcPr>
          <w:p w14:paraId="64ECA77A" w14:textId="7148D51B" w:rsidR="001B2928" w:rsidRPr="00052138" w:rsidRDefault="001B2928" w:rsidP="0072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lang w:val="lv-LV" w:eastAsia="lv-LV"/>
              </w:rPr>
              <w:t>13</w:t>
            </w:r>
          </w:p>
        </w:tc>
        <w:tc>
          <w:tcPr>
            <w:tcW w:w="907" w:type="dxa"/>
            <w:shd w:val="clear" w:color="000000" w:fill="D9D9D9"/>
            <w:vAlign w:val="center"/>
          </w:tcPr>
          <w:p w14:paraId="33F1CF52" w14:textId="49B16D65" w:rsidR="001B2928" w:rsidRPr="00052138" w:rsidRDefault="001B2928" w:rsidP="0072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52138">
              <w:rPr>
                <w:rFonts w:ascii="Times New Roman" w:hAnsi="Times New Roman" w:cs="Times New Roman"/>
                <w:lang w:val="lv-LV"/>
              </w:rPr>
              <w:t>349</w:t>
            </w:r>
          </w:p>
        </w:tc>
        <w:tc>
          <w:tcPr>
            <w:tcW w:w="925" w:type="dxa"/>
            <w:shd w:val="clear" w:color="000000" w:fill="D9D9D9"/>
            <w:vAlign w:val="center"/>
          </w:tcPr>
          <w:p w14:paraId="6A912CD5" w14:textId="36BEA38B" w:rsidR="001B2928" w:rsidRPr="00052138" w:rsidRDefault="001B2928" w:rsidP="0072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52138">
              <w:rPr>
                <w:rFonts w:ascii="Times New Roman" w:hAnsi="Times New Roman" w:cs="Times New Roman"/>
                <w:lang w:val="lv-LV"/>
              </w:rPr>
              <w:t>11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5A72E9FD" w14:textId="5F4E3AAE" w:rsidR="001B2928" w:rsidRPr="00052138" w:rsidRDefault="001B2928" w:rsidP="007220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052138">
              <w:rPr>
                <w:rFonts w:ascii="Times New Roman" w:hAnsi="Times New Roman" w:cs="Times New Roman"/>
                <w:lang w:val="lv-LV"/>
              </w:rPr>
              <w:t>294</w:t>
            </w: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14:paraId="058777D0" w14:textId="572E1920" w:rsidR="001B2928" w:rsidRPr="00052138" w:rsidRDefault="001B2928" w:rsidP="007220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052138">
              <w:rPr>
                <w:rFonts w:ascii="Times New Roman" w:hAnsi="Times New Roman" w:cs="Times New Roman"/>
                <w:lang w:val="lv-LV"/>
              </w:rPr>
              <w:t>13</w:t>
            </w:r>
          </w:p>
        </w:tc>
      </w:tr>
      <w:tr w:rsidR="00052138" w:rsidRPr="00052138" w14:paraId="61ABFDF4" w14:textId="28D3401C" w:rsidTr="00052138">
        <w:trPr>
          <w:trHeight w:val="315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19F4526A" w14:textId="77777777" w:rsidR="001B2928" w:rsidRPr="00052138" w:rsidRDefault="001B2928" w:rsidP="001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V961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4D0A7D48" w14:textId="5828CBED" w:rsidR="001B2928" w:rsidRPr="00052138" w:rsidRDefault="001B2928" w:rsidP="001B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Nereta - </w:t>
            </w:r>
            <w:proofErr w:type="spellStart"/>
            <w:r w:rsidRPr="0005213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Sleķi</w:t>
            </w:r>
            <w:proofErr w:type="spellEnd"/>
            <w:r w:rsidRPr="00052138">
              <w:rPr>
                <w:lang w:val="lv-LV"/>
              </w:rPr>
              <w:t xml:space="preserve"> </w:t>
            </w:r>
            <w:r w:rsidRPr="000521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būvdarbi pabeigti 2018.gada septembrī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267505A7" w14:textId="77777777" w:rsidR="001B2928" w:rsidRPr="00052138" w:rsidRDefault="001B2928" w:rsidP="001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lang w:val="lv-LV" w:eastAsia="lv-LV"/>
              </w:rPr>
              <w:t>0,000</w:t>
            </w:r>
          </w:p>
        </w:tc>
        <w:tc>
          <w:tcPr>
            <w:tcW w:w="876" w:type="dxa"/>
            <w:vAlign w:val="center"/>
          </w:tcPr>
          <w:p w14:paraId="539DF490" w14:textId="1C7497CB" w:rsidR="001B2928" w:rsidRPr="00052138" w:rsidRDefault="001B2928" w:rsidP="001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lang w:val="lv-LV" w:eastAsia="lv-LV"/>
              </w:rPr>
              <w:t>1,200</w:t>
            </w:r>
          </w:p>
        </w:tc>
        <w:tc>
          <w:tcPr>
            <w:tcW w:w="962" w:type="dxa"/>
            <w:vAlign w:val="center"/>
          </w:tcPr>
          <w:p w14:paraId="72F74EFA" w14:textId="3664D8E3" w:rsidR="001B2928" w:rsidRPr="00052138" w:rsidRDefault="001B2928" w:rsidP="001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140</w:t>
            </w:r>
          </w:p>
        </w:tc>
        <w:tc>
          <w:tcPr>
            <w:tcW w:w="1114" w:type="dxa"/>
            <w:vAlign w:val="center"/>
          </w:tcPr>
          <w:p w14:paraId="149DB14D" w14:textId="55E13AE1" w:rsidR="001B2928" w:rsidRPr="00052138" w:rsidRDefault="001B2928" w:rsidP="001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478BAC63" w14:textId="12246539" w:rsidR="001B2928" w:rsidRPr="00052138" w:rsidRDefault="001B2928" w:rsidP="0072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218</w:t>
            </w:r>
          </w:p>
        </w:tc>
        <w:tc>
          <w:tcPr>
            <w:tcW w:w="861" w:type="dxa"/>
            <w:shd w:val="clear" w:color="auto" w:fill="C6D9F1" w:themeFill="text2" w:themeFillTint="33"/>
            <w:vAlign w:val="center"/>
          </w:tcPr>
          <w:p w14:paraId="54613578" w14:textId="194BEB4A" w:rsidR="001B2928" w:rsidRPr="00052138" w:rsidRDefault="001B2928" w:rsidP="0072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23</w:t>
            </w:r>
          </w:p>
        </w:tc>
        <w:tc>
          <w:tcPr>
            <w:tcW w:w="907" w:type="dxa"/>
            <w:shd w:val="clear" w:color="000000" w:fill="D9D9D9"/>
            <w:vAlign w:val="center"/>
          </w:tcPr>
          <w:p w14:paraId="5D16CB74" w14:textId="4A94DBE5" w:rsidR="001B2928" w:rsidRPr="00052138" w:rsidRDefault="001B2928" w:rsidP="0072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52138">
              <w:rPr>
                <w:rFonts w:ascii="Times New Roman" w:hAnsi="Times New Roman" w:cs="Times New Roman"/>
                <w:color w:val="000000"/>
                <w:lang w:val="lv-LV"/>
              </w:rPr>
              <w:t>245</w:t>
            </w:r>
          </w:p>
        </w:tc>
        <w:tc>
          <w:tcPr>
            <w:tcW w:w="925" w:type="dxa"/>
            <w:shd w:val="clear" w:color="000000" w:fill="D9D9D9"/>
            <w:vAlign w:val="center"/>
          </w:tcPr>
          <w:p w14:paraId="762F9940" w14:textId="4BC4B635" w:rsidR="001B2928" w:rsidRPr="00052138" w:rsidRDefault="001B2928" w:rsidP="0072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52138">
              <w:rPr>
                <w:rFonts w:ascii="Times New Roman" w:hAnsi="Times New Roman" w:cs="Times New Roman"/>
                <w:color w:val="000000"/>
                <w:lang w:val="lv-LV"/>
              </w:rPr>
              <w:t>21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4B4F2C9E" w14:textId="1E86BA64" w:rsidR="001B2928" w:rsidRPr="00052138" w:rsidRDefault="001B2928" w:rsidP="00722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052138">
              <w:rPr>
                <w:rFonts w:ascii="Times New Roman" w:hAnsi="Times New Roman" w:cs="Times New Roman"/>
                <w:color w:val="000000"/>
                <w:lang w:val="lv-LV"/>
              </w:rPr>
              <w:t>271</w:t>
            </w: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14:paraId="376F76F3" w14:textId="31A95908" w:rsidR="001B2928" w:rsidRPr="00052138" w:rsidRDefault="001B2928" w:rsidP="00722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052138">
              <w:rPr>
                <w:rFonts w:ascii="Times New Roman" w:hAnsi="Times New Roman" w:cs="Times New Roman"/>
                <w:color w:val="000000"/>
                <w:lang w:val="lv-LV"/>
              </w:rPr>
              <w:t>23</w:t>
            </w:r>
          </w:p>
        </w:tc>
      </w:tr>
      <w:tr w:rsidR="00052138" w:rsidRPr="00052138" w14:paraId="255A0163" w14:textId="74461289" w:rsidTr="00052138">
        <w:trPr>
          <w:trHeight w:val="423"/>
        </w:trPr>
        <w:tc>
          <w:tcPr>
            <w:tcW w:w="870" w:type="dxa"/>
            <w:vMerge w:val="restart"/>
            <w:shd w:val="clear" w:color="auto" w:fill="auto"/>
            <w:noWrap/>
            <w:vAlign w:val="center"/>
            <w:hideMark/>
          </w:tcPr>
          <w:p w14:paraId="1E3A6803" w14:textId="77777777" w:rsidR="001B2928" w:rsidRPr="00052138" w:rsidRDefault="001B2928" w:rsidP="001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V1028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41B503EC" w14:textId="1C9A7B8B" w:rsidR="001B2928" w:rsidRPr="00052138" w:rsidRDefault="001B2928" w:rsidP="001B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Bauska - Bērzi - Ādžūni - Lietuvas robeža; </w:t>
            </w:r>
            <w:r w:rsidRPr="000521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būvdarbi pabeigti 2020.gada augustā</w:t>
            </w:r>
            <w:r w:rsidRPr="0005213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58643D7D" w14:textId="77777777" w:rsidR="001B2928" w:rsidRPr="00052138" w:rsidRDefault="001B2928" w:rsidP="001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lang w:val="lv-LV" w:eastAsia="lv-LV"/>
              </w:rPr>
              <w:t>4,700</w:t>
            </w:r>
          </w:p>
        </w:tc>
        <w:tc>
          <w:tcPr>
            <w:tcW w:w="876" w:type="dxa"/>
            <w:vAlign w:val="center"/>
          </w:tcPr>
          <w:p w14:paraId="73E2E299" w14:textId="3FF00B15" w:rsidR="001B2928" w:rsidRPr="00052138" w:rsidRDefault="001B2928" w:rsidP="001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lang w:val="lv-LV" w:eastAsia="lv-LV"/>
              </w:rPr>
              <w:t>10,000</w:t>
            </w:r>
          </w:p>
        </w:tc>
        <w:tc>
          <w:tcPr>
            <w:tcW w:w="962" w:type="dxa"/>
            <w:vAlign w:val="center"/>
          </w:tcPr>
          <w:p w14:paraId="153B2FBD" w14:textId="3C9CAF57" w:rsidR="001B2928" w:rsidRPr="00052138" w:rsidRDefault="001B2928" w:rsidP="001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1057</w:t>
            </w:r>
          </w:p>
        </w:tc>
        <w:tc>
          <w:tcPr>
            <w:tcW w:w="1114" w:type="dxa"/>
            <w:vAlign w:val="center"/>
          </w:tcPr>
          <w:p w14:paraId="1AA31BD6" w14:textId="61FF8222" w:rsidR="001B2928" w:rsidRPr="00052138" w:rsidRDefault="001B2928" w:rsidP="001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24157A7B" w14:textId="108E3679" w:rsidR="001B2928" w:rsidRPr="00052138" w:rsidRDefault="001B2928" w:rsidP="0072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1120</w:t>
            </w:r>
          </w:p>
        </w:tc>
        <w:tc>
          <w:tcPr>
            <w:tcW w:w="861" w:type="dxa"/>
            <w:shd w:val="clear" w:color="auto" w:fill="C6D9F1" w:themeFill="text2" w:themeFillTint="33"/>
            <w:vAlign w:val="center"/>
          </w:tcPr>
          <w:p w14:paraId="670881A5" w14:textId="3ACC8976" w:rsidR="001B2928" w:rsidRPr="00052138" w:rsidRDefault="001B2928" w:rsidP="0072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</w:t>
            </w:r>
          </w:p>
        </w:tc>
        <w:tc>
          <w:tcPr>
            <w:tcW w:w="907" w:type="dxa"/>
            <w:shd w:val="clear" w:color="000000" w:fill="D9D9D9"/>
            <w:vAlign w:val="center"/>
          </w:tcPr>
          <w:p w14:paraId="4D5D02AB" w14:textId="548EFD2C" w:rsidR="001B2928" w:rsidRPr="00052138" w:rsidRDefault="001B2928" w:rsidP="0072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52138">
              <w:rPr>
                <w:rFonts w:ascii="Times New Roman" w:hAnsi="Times New Roman" w:cs="Times New Roman"/>
                <w:color w:val="000000"/>
                <w:lang w:val="lv-LV"/>
              </w:rPr>
              <w:t>1136</w:t>
            </w:r>
          </w:p>
        </w:tc>
        <w:tc>
          <w:tcPr>
            <w:tcW w:w="925" w:type="dxa"/>
            <w:shd w:val="clear" w:color="000000" w:fill="D9D9D9"/>
            <w:vAlign w:val="center"/>
          </w:tcPr>
          <w:p w14:paraId="0CF2CDD3" w14:textId="0C936CBC" w:rsidR="001B2928" w:rsidRPr="00052138" w:rsidRDefault="001B2928" w:rsidP="0072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52138">
              <w:rPr>
                <w:rFonts w:ascii="Times New Roman" w:hAnsi="Times New Roman" w:cs="Times New Roman"/>
                <w:color w:val="000000"/>
                <w:lang w:val="lv-LV"/>
              </w:rPr>
              <w:t>11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3F4205FC" w14:textId="48C9656B" w:rsidR="001B2928" w:rsidRPr="00052138" w:rsidRDefault="001B2928" w:rsidP="00722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052138">
              <w:rPr>
                <w:rFonts w:ascii="Times New Roman" w:hAnsi="Times New Roman" w:cs="Times New Roman"/>
                <w:color w:val="000000"/>
                <w:lang w:val="lv-LV"/>
              </w:rPr>
              <w:t>1306</w:t>
            </w: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14:paraId="62EC63E5" w14:textId="714487B8" w:rsidR="001B2928" w:rsidRPr="00052138" w:rsidRDefault="001B2928" w:rsidP="00722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052138">
              <w:rPr>
                <w:rFonts w:ascii="Times New Roman" w:hAnsi="Times New Roman" w:cs="Times New Roman"/>
                <w:color w:val="000000"/>
                <w:lang w:val="lv-LV"/>
              </w:rPr>
              <w:t>9</w:t>
            </w:r>
          </w:p>
        </w:tc>
      </w:tr>
      <w:tr w:rsidR="00052138" w:rsidRPr="00052138" w14:paraId="037E2A19" w14:textId="4CE5DF25" w:rsidTr="00052138">
        <w:trPr>
          <w:trHeight w:val="315"/>
        </w:trPr>
        <w:tc>
          <w:tcPr>
            <w:tcW w:w="870" w:type="dxa"/>
            <w:vMerge/>
            <w:vAlign w:val="center"/>
            <w:hideMark/>
          </w:tcPr>
          <w:p w14:paraId="08F3FA00" w14:textId="77777777" w:rsidR="001B2928" w:rsidRPr="00052138" w:rsidRDefault="001B2928" w:rsidP="001B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403" w:type="dxa"/>
            <w:vMerge/>
            <w:vAlign w:val="center"/>
            <w:hideMark/>
          </w:tcPr>
          <w:p w14:paraId="12CA8CF9" w14:textId="77777777" w:rsidR="001B2928" w:rsidRPr="00052138" w:rsidRDefault="001B2928" w:rsidP="001B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7F8EDE0E" w14:textId="77777777" w:rsidR="001B2928" w:rsidRPr="00052138" w:rsidRDefault="001B2928" w:rsidP="001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lang w:val="lv-LV" w:eastAsia="lv-LV"/>
              </w:rPr>
              <w:t>10,000</w:t>
            </w:r>
          </w:p>
        </w:tc>
        <w:tc>
          <w:tcPr>
            <w:tcW w:w="876" w:type="dxa"/>
            <w:vAlign w:val="center"/>
          </w:tcPr>
          <w:p w14:paraId="2330EFF5" w14:textId="76E5F147" w:rsidR="001B2928" w:rsidRPr="00052138" w:rsidRDefault="001B2928" w:rsidP="001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lang w:val="lv-LV" w:eastAsia="lv-LV"/>
              </w:rPr>
              <w:t>14,625</w:t>
            </w:r>
          </w:p>
        </w:tc>
        <w:tc>
          <w:tcPr>
            <w:tcW w:w="962" w:type="dxa"/>
            <w:vAlign w:val="center"/>
          </w:tcPr>
          <w:p w14:paraId="6B1A126D" w14:textId="223030EA" w:rsidR="001B2928" w:rsidRPr="00052138" w:rsidRDefault="001B2928" w:rsidP="001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471</w:t>
            </w:r>
          </w:p>
        </w:tc>
        <w:tc>
          <w:tcPr>
            <w:tcW w:w="1114" w:type="dxa"/>
            <w:vAlign w:val="center"/>
          </w:tcPr>
          <w:p w14:paraId="6241C0EE" w14:textId="2DD13D54" w:rsidR="001B2928" w:rsidRPr="00052138" w:rsidRDefault="001B2928" w:rsidP="001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30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3FAF1197" w14:textId="53C254F9" w:rsidR="001B2928" w:rsidRPr="00052138" w:rsidRDefault="001B2928" w:rsidP="0072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262</w:t>
            </w:r>
          </w:p>
        </w:tc>
        <w:tc>
          <w:tcPr>
            <w:tcW w:w="861" w:type="dxa"/>
            <w:shd w:val="clear" w:color="auto" w:fill="C6D9F1" w:themeFill="text2" w:themeFillTint="33"/>
            <w:vAlign w:val="center"/>
          </w:tcPr>
          <w:p w14:paraId="3A42A632" w14:textId="6142BDE1" w:rsidR="001B2928" w:rsidRPr="00052138" w:rsidRDefault="001B2928" w:rsidP="0072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</w:t>
            </w:r>
          </w:p>
        </w:tc>
        <w:tc>
          <w:tcPr>
            <w:tcW w:w="907" w:type="dxa"/>
            <w:shd w:val="clear" w:color="000000" w:fill="D9D9D9"/>
            <w:vAlign w:val="center"/>
          </w:tcPr>
          <w:p w14:paraId="2A0154B2" w14:textId="0EBF236B" w:rsidR="001B2928" w:rsidRPr="00052138" w:rsidRDefault="001B2928" w:rsidP="0072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52138">
              <w:rPr>
                <w:rFonts w:ascii="Times New Roman" w:hAnsi="Times New Roman" w:cs="Times New Roman"/>
                <w:color w:val="000000"/>
                <w:lang w:val="lv-LV"/>
              </w:rPr>
              <w:t>250</w:t>
            </w:r>
          </w:p>
        </w:tc>
        <w:tc>
          <w:tcPr>
            <w:tcW w:w="925" w:type="dxa"/>
            <w:shd w:val="clear" w:color="000000" w:fill="D9D9D9"/>
            <w:vAlign w:val="center"/>
          </w:tcPr>
          <w:p w14:paraId="0459B189" w14:textId="55BE7F69" w:rsidR="001B2928" w:rsidRPr="00052138" w:rsidRDefault="001B2928" w:rsidP="0072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52138">
              <w:rPr>
                <w:rFonts w:ascii="Times New Roman" w:hAnsi="Times New Roman" w:cs="Times New Roman"/>
                <w:color w:val="000000"/>
                <w:lang w:val="lv-LV"/>
              </w:rPr>
              <w:t>22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29AE7ADD" w14:textId="6D17937B" w:rsidR="001B2928" w:rsidRPr="00052138" w:rsidRDefault="001B2928" w:rsidP="00722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052138">
              <w:rPr>
                <w:rFonts w:ascii="Times New Roman" w:hAnsi="Times New Roman" w:cs="Times New Roman"/>
                <w:color w:val="000000"/>
                <w:lang w:val="lv-LV"/>
              </w:rPr>
              <w:t>195</w:t>
            </w: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14:paraId="25AC43C2" w14:textId="3C81B66B" w:rsidR="001B2928" w:rsidRPr="00052138" w:rsidRDefault="001B2928" w:rsidP="00722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052138">
              <w:rPr>
                <w:rFonts w:ascii="Times New Roman" w:hAnsi="Times New Roman" w:cs="Times New Roman"/>
                <w:color w:val="000000"/>
                <w:lang w:val="lv-LV"/>
              </w:rPr>
              <w:t>27</w:t>
            </w:r>
          </w:p>
        </w:tc>
      </w:tr>
      <w:tr w:rsidR="00052138" w:rsidRPr="00052138" w14:paraId="16EC852F" w14:textId="2C7D0CFE" w:rsidTr="00052138">
        <w:trPr>
          <w:trHeight w:val="434"/>
        </w:trPr>
        <w:tc>
          <w:tcPr>
            <w:tcW w:w="870" w:type="dxa"/>
            <w:vMerge w:val="restart"/>
            <w:shd w:val="clear" w:color="auto" w:fill="auto"/>
            <w:noWrap/>
            <w:vAlign w:val="center"/>
            <w:hideMark/>
          </w:tcPr>
          <w:p w14:paraId="1A21ACD8" w14:textId="77777777" w:rsidR="001B2928" w:rsidRPr="00052138" w:rsidRDefault="001B2928" w:rsidP="001B292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val="lv-LV" w:eastAsia="lv-LV"/>
              </w:rPr>
            </w:pPr>
            <w:r w:rsidRPr="00052138">
              <w:rPr>
                <w:rFonts w:ascii="Times New Roman Baltic" w:eastAsia="Times New Roman" w:hAnsi="Times New Roman Baltic" w:cs="Times New Roman Baltic"/>
                <w:sz w:val="24"/>
                <w:szCs w:val="24"/>
                <w:lang w:val="lv-LV" w:eastAsia="lv-LV"/>
              </w:rPr>
              <w:t>P106</w:t>
            </w:r>
          </w:p>
        </w:tc>
        <w:tc>
          <w:tcPr>
            <w:tcW w:w="3403" w:type="dxa"/>
            <w:vMerge w:val="restart"/>
            <w:shd w:val="clear" w:color="auto" w:fill="auto"/>
            <w:noWrap/>
            <w:vAlign w:val="center"/>
            <w:hideMark/>
          </w:tcPr>
          <w:p w14:paraId="18F090F2" w14:textId="44B16BB8" w:rsidR="001B2928" w:rsidRPr="00052138" w:rsidRDefault="001B2928" w:rsidP="001B292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val="lv-LV" w:eastAsia="lv-LV"/>
              </w:rPr>
            </w:pPr>
            <w:r w:rsidRPr="00052138">
              <w:rPr>
                <w:rFonts w:ascii="Times New Roman Baltic" w:eastAsia="Times New Roman" w:hAnsi="Times New Roman Baltic" w:cs="Times New Roman Baltic"/>
                <w:sz w:val="24"/>
                <w:szCs w:val="24"/>
                <w:lang w:val="lv-LV" w:eastAsia="lv-LV"/>
              </w:rPr>
              <w:t xml:space="preserve">Ezere - Embūte – Grobiņa; </w:t>
            </w:r>
            <w:r w:rsidRPr="00052138">
              <w:rPr>
                <w:rFonts w:ascii="Times New Roman Baltic" w:eastAsia="Times New Roman" w:hAnsi="Times New Roman Baltic" w:cs="Times New Roman Baltic"/>
                <w:i/>
                <w:iCs/>
                <w:sz w:val="24"/>
                <w:szCs w:val="24"/>
                <w:lang w:val="lv-LV" w:eastAsia="lv-LV"/>
              </w:rPr>
              <w:t>būvdarbi pabeigti 2018.gada septembrī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5FF54969" w14:textId="77777777" w:rsidR="001B2928" w:rsidRPr="00052138" w:rsidRDefault="001B2928" w:rsidP="001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lang w:val="lv-LV" w:eastAsia="lv-LV"/>
              </w:rPr>
              <w:t>0,000</w:t>
            </w:r>
          </w:p>
        </w:tc>
        <w:tc>
          <w:tcPr>
            <w:tcW w:w="876" w:type="dxa"/>
            <w:vAlign w:val="center"/>
          </w:tcPr>
          <w:p w14:paraId="29DFBBBE" w14:textId="6E662A06" w:rsidR="001B2928" w:rsidRPr="00052138" w:rsidRDefault="001B2928" w:rsidP="001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lang w:val="lv-LV" w:eastAsia="lv-LV"/>
              </w:rPr>
              <w:t>3,069</w:t>
            </w:r>
          </w:p>
        </w:tc>
        <w:tc>
          <w:tcPr>
            <w:tcW w:w="962" w:type="dxa"/>
            <w:vAlign w:val="center"/>
          </w:tcPr>
          <w:p w14:paraId="49B9343D" w14:textId="4F2A7B75" w:rsidR="001B2928" w:rsidRPr="00052138" w:rsidRDefault="001B2928" w:rsidP="001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669</w:t>
            </w:r>
          </w:p>
        </w:tc>
        <w:tc>
          <w:tcPr>
            <w:tcW w:w="1114" w:type="dxa"/>
            <w:vAlign w:val="center"/>
          </w:tcPr>
          <w:p w14:paraId="6115DBB4" w14:textId="2BCF1D55" w:rsidR="001B2928" w:rsidRPr="00052138" w:rsidRDefault="001B2928" w:rsidP="001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13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7CE701A3" w14:textId="587B5061" w:rsidR="001B2928" w:rsidRPr="00052138" w:rsidRDefault="001B2928" w:rsidP="0072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744</w:t>
            </w:r>
          </w:p>
        </w:tc>
        <w:tc>
          <w:tcPr>
            <w:tcW w:w="861" w:type="dxa"/>
            <w:shd w:val="clear" w:color="auto" w:fill="C6D9F1" w:themeFill="text2" w:themeFillTint="33"/>
            <w:vAlign w:val="center"/>
          </w:tcPr>
          <w:p w14:paraId="4536B2AA" w14:textId="0DC78BCF" w:rsidR="001B2928" w:rsidRPr="00052138" w:rsidRDefault="001B2928" w:rsidP="0072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14</w:t>
            </w:r>
          </w:p>
        </w:tc>
        <w:tc>
          <w:tcPr>
            <w:tcW w:w="907" w:type="dxa"/>
            <w:shd w:val="clear" w:color="000000" w:fill="D9D9D9"/>
            <w:vAlign w:val="center"/>
          </w:tcPr>
          <w:p w14:paraId="715747A9" w14:textId="082ABA30" w:rsidR="001B2928" w:rsidRPr="00052138" w:rsidRDefault="001B2928" w:rsidP="0072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52138">
              <w:rPr>
                <w:rFonts w:ascii="Times New Roman" w:hAnsi="Times New Roman" w:cs="Times New Roman"/>
                <w:color w:val="000000"/>
                <w:lang w:val="lv-LV"/>
              </w:rPr>
              <w:t>781</w:t>
            </w:r>
          </w:p>
        </w:tc>
        <w:tc>
          <w:tcPr>
            <w:tcW w:w="925" w:type="dxa"/>
            <w:shd w:val="clear" w:color="000000" w:fill="D9D9D9"/>
            <w:vAlign w:val="center"/>
          </w:tcPr>
          <w:p w14:paraId="78FED699" w14:textId="6A356B26" w:rsidR="001B2928" w:rsidRPr="00052138" w:rsidRDefault="001B2928" w:rsidP="0072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52138">
              <w:rPr>
                <w:rFonts w:ascii="Times New Roman" w:hAnsi="Times New Roman" w:cs="Times New Roman"/>
                <w:color w:val="000000"/>
                <w:lang w:val="lv-LV"/>
              </w:rPr>
              <w:t>14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54683088" w14:textId="573FED87" w:rsidR="001B2928" w:rsidRPr="00052138" w:rsidRDefault="001B2928" w:rsidP="00722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052138">
              <w:rPr>
                <w:rFonts w:ascii="Times New Roman" w:hAnsi="Times New Roman" w:cs="Times New Roman"/>
                <w:color w:val="000000"/>
                <w:lang w:val="lv-LV"/>
              </w:rPr>
              <w:t>740</w:t>
            </w: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14:paraId="3C1ABD74" w14:textId="4A8838E5" w:rsidR="001B2928" w:rsidRPr="00052138" w:rsidRDefault="001B2928" w:rsidP="00722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052138">
              <w:rPr>
                <w:rFonts w:ascii="Times New Roman" w:hAnsi="Times New Roman" w:cs="Times New Roman"/>
                <w:color w:val="000000"/>
                <w:lang w:val="lv-LV"/>
              </w:rPr>
              <w:t>12</w:t>
            </w:r>
          </w:p>
        </w:tc>
      </w:tr>
      <w:tr w:rsidR="00052138" w:rsidRPr="00052138" w14:paraId="5ECDF394" w14:textId="12D8ED1B" w:rsidTr="00052138">
        <w:trPr>
          <w:trHeight w:val="315"/>
        </w:trPr>
        <w:tc>
          <w:tcPr>
            <w:tcW w:w="870" w:type="dxa"/>
            <w:vMerge/>
            <w:vAlign w:val="center"/>
            <w:hideMark/>
          </w:tcPr>
          <w:p w14:paraId="0ABE2189" w14:textId="77777777" w:rsidR="001B2928" w:rsidRPr="00052138" w:rsidRDefault="001B2928" w:rsidP="001B292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val="lv-LV" w:eastAsia="lv-LV"/>
              </w:rPr>
            </w:pPr>
          </w:p>
        </w:tc>
        <w:tc>
          <w:tcPr>
            <w:tcW w:w="3403" w:type="dxa"/>
            <w:vMerge/>
            <w:vAlign w:val="center"/>
            <w:hideMark/>
          </w:tcPr>
          <w:p w14:paraId="3B1946DB" w14:textId="77777777" w:rsidR="001B2928" w:rsidRPr="00052138" w:rsidRDefault="001B2928" w:rsidP="001B292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val="lv-LV" w:eastAsia="lv-LV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53C02157" w14:textId="77777777" w:rsidR="001B2928" w:rsidRPr="00052138" w:rsidRDefault="001B2928" w:rsidP="001B292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val="lv-LV" w:eastAsia="lv-LV"/>
              </w:rPr>
            </w:pPr>
            <w:r w:rsidRPr="00052138">
              <w:rPr>
                <w:rFonts w:ascii="Times New Roman Baltic" w:eastAsia="Times New Roman" w:hAnsi="Times New Roman Baltic" w:cs="Times New Roman Baltic"/>
                <w:sz w:val="24"/>
                <w:szCs w:val="24"/>
                <w:lang w:val="lv-LV" w:eastAsia="lv-LV"/>
              </w:rPr>
              <w:t>3,069</w:t>
            </w:r>
          </w:p>
        </w:tc>
        <w:tc>
          <w:tcPr>
            <w:tcW w:w="876" w:type="dxa"/>
            <w:vAlign w:val="center"/>
          </w:tcPr>
          <w:p w14:paraId="30D67AA2" w14:textId="6067247C" w:rsidR="001B2928" w:rsidRPr="00052138" w:rsidRDefault="001B2928" w:rsidP="001B292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val="lv-LV" w:eastAsia="lv-LV"/>
              </w:rPr>
            </w:pPr>
            <w:r w:rsidRPr="00052138">
              <w:rPr>
                <w:rFonts w:ascii="Times New Roman Baltic" w:eastAsia="Times New Roman" w:hAnsi="Times New Roman Baltic" w:cs="Times New Roman Baltic"/>
                <w:sz w:val="24"/>
                <w:szCs w:val="24"/>
                <w:lang w:val="lv-LV" w:eastAsia="lv-LV"/>
              </w:rPr>
              <w:t>22,269</w:t>
            </w:r>
          </w:p>
        </w:tc>
        <w:tc>
          <w:tcPr>
            <w:tcW w:w="962" w:type="dxa"/>
            <w:vAlign w:val="center"/>
          </w:tcPr>
          <w:p w14:paraId="445925B4" w14:textId="43A519F3" w:rsidR="001B2928" w:rsidRPr="00052138" w:rsidRDefault="001B2928" w:rsidP="001B292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298</w:t>
            </w:r>
          </w:p>
        </w:tc>
        <w:tc>
          <w:tcPr>
            <w:tcW w:w="1114" w:type="dxa"/>
            <w:vAlign w:val="center"/>
          </w:tcPr>
          <w:p w14:paraId="2B083ADD" w14:textId="2FE1517A" w:rsidR="001B2928" w:rsidRPr="00052138" w:rsidRDefault="001B2928" w:rsidP="001B292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09CE8D7E" w14:textId="3B4B2D43" w:rsidR="001B2928" w:rsidRPr="00052138" w:rsidRDefault="001B2928" w:rsidP="007220CE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479</w:t>
            </w:r>
          </w:p>
        </w:tc>
        <w:tc>
          <w:tcPr>
            <w:tcW w:w="861" w:type="dxa"/>
            <w:shd w:val="clear" w:color="auto" w:fill="C6D9F1" w:themeFill="text2" w:themeFillTint="33"/>
            <w:vAlign w:val="center"/>
          </w:tcPr>
          <w:p w14:paraId="5416C375" w14:textId="4E142B7F" w:rsidR="001B2928" w:rsidRPr="00052138" w:rsidRDefault="001B2928" w:rsidP="007220CE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val="lv-LV" w:eastAsia="lv-LV"/>
              </w:rPr>
            </w:pPr>
            <w:r w:rsidRPr="0005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</w:t>
            </w:r>
          </w:p>
        </w:tc>
        <w:tc>
          <w:tcPr>
            <w:tcW w:w="907" w:type="dxa"/>
            <w:shd w:val="clear" w:color="000000" w:fill="D9D9D9"/>
            <w:vAlign w:val="center"/>
          </w:tcPr>
          <w:p w14:paraId="46AFE748" w14:textId="1E5C74FC" w:rsidR="001B2928" w:rsidRPr="00052138" w:rsidRDefault="001B2928" w:rsidP="007220CE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val="lv-LV" w:eastAsia="lv-LV"/>
              </w:rPr>
            </w:pPr>
            <w:r w:rsidRPr="00052138">
              <w:rPr>
                <w:color w:val="000000"/>
                <w:lang w:val="lv-LV"/>
              </w:rPr>
              <w:t>467</w:t>
            </w:r>
          </w:p>
        </w:tc>
        <w:tc>
          <w:tcPr>
            <w:tcW w:w="925" w:type="dxa"/>
            <w:shd w:val="clear" w:color="000000" w:fill="D9D9D9"/>
            <w:vAlign w:val="center"/>
          </w:tcPr>
          <w:p w14:paraId="3F32D7C1" w14:textId="5C00BBC4" w:rsidR="001B2928" w:rsidRPr="00052138" w:rsidRDefault="001B2928" w:rsidP="007220CE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val="lv-LV" w:eastAsia="lv-LV"/>
              </w:rPr>
            </w:pPr>
            <w:r w:rsidRPr="00052138">
              <w:rPr>
                <w:color w:val="000000"/>
                <w:lang w:val="lv-LV"/>
              </w:rPr>
              <w:t>9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270CE4CD" w14:textId="66FB95C3" w:rsidR="001B2928" w:rsidRPr="00052138" w:rsidRDefault="001B2928" w:rsidP="007220CE">
            <w:pPr>
              <w:spacing w:after="0" w:line="240" w:lineRule="auto"/>
              <w:jc w:val="center"/>
              <w:rPr>
                <w:color w:val="000000"/>
                <w:lang w:val="lv-LV"/>
              </w:rPr>
            </w:pPr>
            <w:r w:rsidRPr="00052138">
              <w:rPr>
                <w:color w:val="000000"/>
                <w:lang w:val="lv-LV"/>
              </w:rPr>
              <w:t>385</w:t>
            </w: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14:paraId="34B24498" w14:textId="5CAD3B3F" w:rsidR="001B2928" w:rsidRPr="00052138" w:rsidRDefault="001B2928" w:rsidP="007220CE">
            <w:pPr>
              <w:spacing w:after="0" w:line="240" w:lineRule="auto"/>
              <w:jc w:val="center"/>
              <w:rPr>
                <w:color w:val="000000"/>
                <w:lang w:val="lv-LV"/>
              </w:rPr>
            </w:pPr>
            <w:r w:rsidRPr="00052138">
              <w:rPr>
                <w:color w:val="000000"/>
                <w:lang w:val="lv-LV"/>
              </w:rPr>
              <w:t>11</w:t>
            </w:r>
          </w:p>
        </w:tc>
      </w:tr>
    </w:tbl>
    <w:p w14:paraId="6DCBD75E" w14:textId="19549939" w:rsidR="00D750FB" w:rsidRPr="00052138" w:rsidRDefault="007368FF" w:rsidP="00162972">
      <w:pPr>
        <w:spacing w:after="0" w:line="240" w:lineRule="auto"/>
        <w:rPr>
          <w:rFonts w:cstheme="minorHAnsi"/>
          <w:bCs/>
          <w:sz w:val="24"/>
          <w:szCs w:val="24"/>
          <w:lang w:val="lv-LV"/>
        </w:rPr>
      </w:pPr>
      <w:r>
        <w:rPr>
          <w:rFonts w:cstheme="minorHAnsi"/>
          <w:b/>
          <w:sz w:val="24"/>
          <w:szCs w:val="24"/>
          <w:lang w:val="lv-LV"/>
        </w:rPr>
        <w:t>G</w:t>
      </w:r>
      <w:r w:rsidR="00D750FB" w:rsidRPr="00052138">
        <w:rPr>
          <w:rFonts w:cstheme="minorHAnsi"/>
          <w:b/>
          <w:sz w:val="24"/>
          <w:szCs w:val="24"/>
          <w:lang w:val="lv-LV"/>
        </w:rPr>
        <w:t>VDI</w:t>
      </w:r>
      <w:r w:rsidR="00D750FB" w:rsidRPr="00052138">
        <w:rPr>
          <w:rFonts w:cstheme="minorHAnsi"/>
          <w:b/>
          <w:sz w:val="24"/>
          <w:szCs w:val="24"/>
          <w:lang w:val="lv-LV"/>
        </w:rPr>
        <w:tab/>
      </w:r>
      <w:r w:rsidR="00D750FB" w:rsidRPr="00052138">
        <w:rPr>
          <w:rFonts w:cstheme="minorHAnsi"/>
          <w:bCs/>
          <w:sz w:val="24"/>
          <w:szCs w:val="24"/>
          <w:lang w:val="lv-LV"/>
        </w:rPr>
        <w:t>gada vidējā diennakts intensitāte</w:t>
      </w:r>
    </w:p>
    <w:p w14:paraId="30EDA154" w14:textId="453F20C1" w:rsidR="00462FBB" w:rsidRPr="00052138" w:rsidRDefault="00D750FB" w:rsidP="00162972">
      <w:pPr>
        <w:spacing w:after="0" w:line="240" w:lineRule="auto"/>
        <w:rPr>
          <w:rFonts w:cstheme="minorHAnsi"/>
          <w:bCs/>
          <w:sz w:val="24"/>
          <w:szCs w:val="24"/>
          <w:lang w:val="lv-LV"/>
        </w:rPr>
      </w:pPr>
      <w:r w:rsidRPr="00052138">
        <w:rPr>
          <w:rFonts w:cstheme="minorHAnsi"/>
          <w:b/>
          <w:sz w:val="24"/>
          <w:szCs w:val="24"/>
          <w:lang w:val="lv-LV"/>
        </w:rPr>
        <w:t xml:space="preserve">KT% </w:t>
      </w:r>
      <w:r w:rsidRPr="00052138">
        <w:rPr>
          <w:rFonts w:cstheme="minorHAnsi"/>
          <w:b/>
          <w:sz w:val="24"/>
          <w:szCs w:val="24"/>
          <w:lang w:val="lv-LV"/>
        </w:rPr>
        <w:tab/>
      </w:r>
      <w:r w:rsidRPr="00052138">
        <w:rPr>
          <w:rFonts w:cstheme="minorHAnsi"/>
          <w:bCs/>
          <w:sz w:val="24"/>
          <w:szCs w:val="24"/>
          <w:lang w:val="lv-LV"/>
        </w:rPr>
        <w:t xml:space="preserve">kravas transporta  īpatsvars no kopējās </w:t>
      </w:r>
      <w:r w:rsidR="00162972" w:rsidRPr="00052138">
        <w:rPr>
          <w:rFonts w:cstheme="minorHAnsi"/>
          <w:bCs/>
          <w:sz w:val="24"/>
          <w:szCs w:val="24"/>
          <w:lang w:val="lv-LV"/>
        </w:rPr>
        <w:t>satiksmes</w:t>
      </w:r>
      <w:r w:rsidRPr="00052138">
        <w:rPr>
          <w:rFonts w:cstheme="minorHAnsi"/>
          <w:bCs/>
          <w:sz w:val="24"/>
          <w:szCs w:val="24"/>
          <w:lang w:val="lv-LV"/>
        </w:rPr>
        <w:t xml:space="preserve"> intensitātes</w:t>
      </w:r>
    </w:p>
    <w:p w14:paraId="36DBC429" w14:textId="21D874DD" w:rsidR="00162972" w:rsidRDefault="00162972">
      <w:pPr>
        <w:rPr>
          <w:rFonts w:cstheme="minorHAnsi"/>
          <w:b/>
          <w:sz w:val="24"/>
          <w:szCs w:val="24"/>
          <w:lang w:val="lv-LV"/>
        </w:rPr>
      </w:pPr>
      <w:r>
        <w:rPr>
          <w:rFonts w:cstheme="minorHAnsi"/>
          <w:b/>
          <w:sz w:val="24"/>
          <w:szCs w:val="24"/>
          <w:lang w:val="lv-LV"/>
        </w:rPr>
        <w:br w:type="page"/>
      </w:r>
    </w:p>
    <w:p w14:paraId="3538A315" w14:textId="77777777" w:rsidR="0049707A" w:rsidRDefault="00C3300D" w:rsidP="0049707A">
      <w:pPr>
        <w:rPr>
          <w:rFonts w:cstheme="minorHAnsi"/>
          <w:bCs/>
          <w:sz w:val="24"/>
          <w:szCs w:val="24"/>
          <w:lang w:val="lv-LV"/>
        </w:rPr>
      </w:pPr>
      <w:r>
        <w:rPr>
          <w:noProof/>
        </w:rPr>
        <w:lastRenderedPageBreak/>
        <w:drawing>
          <wp:inline distT="0" distB="0" distL="0" distR="0" wp14:anchorId="37B3F6DE" wp14:editId="318DC934">
            <wp:extent cx="7781925" cy="432435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2A6F6488-1DC4-4A28-9D48-3A7E44DDC5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D1ADA47" w14:textId="5EC7E212" w:rsidR="00C3300D" w:rsidRPr="00477CDF" w:rsidRDefault="005F64E9" w:rsidP="0049707A">
      <w:pPr>
        <w:rPr>
          <w:rFonts w:cstheme="minorHAnsi"/>
          <w:b/>
          <w:sz w:val="24"/>
          <w:szCs w:val="24"/>
          <w:lang w:val="lv-LV"/>
        </w:rPr>
      </w:pPr>
      <w:r w:rsidRPr="00477CDF">
        <w:rPr>
          <w:rFonts w:cstheme="minorHAnsi"/>
          <w:b/>
          <w:sz w:val="24"/>
          <w:szCs w:val="24"/>
          <w:lang w:val="lv-LV"/>
        </w:rPr>
        <w:t xml:space="preserve">Secinājumi: </w:t>
      </w:r>
    </w:p>
    <w:p w14:paraId="4209DE23" w14:textId="2731A30A" w:rsidR="00E0079E" w:rsidRDefault="00352274" w:rsidP="001A7755">
      <w:pPr>
        <w:pStyle w:val="ListParagraph"/>
        <w:numPr>
          <w:ilvl w:val="0"/>
          <w:numId w:val="5"/>
        </w:numPr>
        <w:jc w:val="both"/>
        <w:rPr>
          <w:rFonts w:cstheme="minorHAnsi"/>
          <w:bCs/>
          <w:sz w:val="24"/>
          <w:szCs w:val="24"/>
          <w:lang w:val="lv-LV"/>
        </w:rPr>
      </w:pPr>
      <w:r w:rsidRPr="002D30B4">
        <w:rPr>
          <w:rFonts w:cstheme="minorHAnsi"/>
          <w:bCs/>
          <w:sz w:val="24"/>
          <w:szCs w:val="24"/>
          <w:lang w:val="lv-LV"/>
        </w:rPr>
        <w:t>Projekta ietekme vērtēta, salīdzinot datus par periodu pirms projekta uzsākšanas 20</w:t>
      </w:r>
      <w:r w:rsidR="002D30B4" w:rsidRPr="002D30B4">
        <w:rPr>
          <w:rFonts w:cstheme="minorHAnsi"/>
          <w:bCs/>
          <w:sz w:val="24"/>
          <w:szCs w:val="24"/>
          <w:lang w:val="lv-LV"/>
        </w:rPr>
        <w:t xml:space="preserve">17.gada novembrī </w:t>
      </w:r>
      <w:r w:rsidR="002D30B4">
        <w:rPr>
          <w:rFonts w:cstheme="minorHAnsi"/>
          <w:bCs/>
          <w:sz w:val="24"/>
          <w:szCs w:val="24"/>
          <w:lang w:val="lv-LV"/>
        </w:rPr>
        <w:t>ar datiem 2019.gadā, ņemot vērā, ka 2020.gadā, sākoties Covid-19 pandēmijai</w:t>
      </w:r>
      <w:r w:rsidR="004140F1">
        <w:rPr>
          <w:rFonts w:cstheme="minorHAnsi"/>
          <w:bCs/>
          <w:sz w:val="24"/>
          <w:szCs w:val="24"/>
          <w:lang w:val="lv-LV"/>
        </w:rPr>
        <w:t xml:space="preserve">, </w:t>
      </w:r>
      <w:r w:rsidR="00E0079E">
        <w:rPr>
          <w:rFonts w:cstheme="minorHAnsi"/>
          <w:bCs/>
          <w:sz w:val="24"/>
          <w:szCs w:val="24"/>
          <w:lang w:val="lv-LV"/>
        </w:rPr>
        <w:t xml:space="preserve">zināmus periodus </w:t>
      </w:r>
      <w:r w:rsidR="004140F1">
        <w:rPr>
          <w:rFonts w:cstheme="minorHAnsi"/>
          <w:bCs/>
          <w:sz w:val="24"/>
          <w:szCs w:val="24"/>
          <w:lang w:val="lv-LV"/>
        </w:rPr>
        <w:t>robež</w:t>
      </w:r>
      <w:r w:rsidR="00E0079E">
        <w:rPr>
          <w:rFonts w:cstheme="minorHAnsi"/>
          <w:bCs/>
          <w:sz w:val="24"/>
          <w:szCs w:val="24"/>
          <w:lang w:val="lv-LV"/>
        </w:rPr>
        <w:t xml:space="preserve">as </w:t>
      </w:r>
      <w:r w:rsidR="004140F1">
        <w:rPr>
          <w:rFonts w:cstheme="minorHAnsi"/>
          <w:bCs/>
          <w:sz w:val="24"/>
          <w:szCs w:val="24"/>
          <w:lang w:val="lv-LV"/>
        </w:rPr>
        <w:t>šķērsošanas punkti uz minējiem ceļu posmiem bijuši pilnībā slēgti satiksmei</w:t>
      </w:r>
      <w:r w:rsidR="00E0079E">
        <w:rPr>
          <w:rFonts w:cstheme="minorHAnsi"/>
          <w:bCs/>
          <w:sz w:val="24"/>
          <w:szCs w:val="24"/>
          <w:lang w:val="lv-LV"/>
        </w:rPr>
        <w:t xml:space="preserve"> vai arī iedzīvotāju kustība pāri robežai bijusi būtiski ierobežota. </w:t>
      </w:r>
      <w:r w:rsidR="004140F1">
        <w:rPr>
          <w:rFonts w:cstheme="minorHAnsi"/>
          <w:bCs/>
          <w:sz w:val="24"/>
          <w:szCs w:val="24"/>
          <w:lang w:val="lv-LV"/>
        </w:rPr>
        <w:t xml:space="preserve"> </w:t>
      </w:r>
    </w:p>
    <w:p w14:paraId="120A7F41" w14:textId="5F44D2FA" w:rsidR="005F64E9" w:rsidRPr="002D30B4" w:rsidRDefault="00F31079" w:rsidP="001A7755">
      <w:pPr>
        <w:pStyle w:val="ListParagraph"/>
        <w:numPr>
          <w:ilvl w:val="0"/>
          <w:numId w:val="5"/>
        </w:numPr>
        <w:jc w:val="both"/>
        <w:rPr>
          <w:rFonts w:cstheme="minorHAnsi"/>
          <w:bCs/>
          <w:sz w:val="24"/>
          <w:szCs w:val="24"/>
          <w:lang w:val="lv-LV"/>
        </w:rPr>
      </w:pPr>
      <w:r w:rsidRPr="002D30B4">
        <w:rPr>
          <w:rFonts w:cstheme="minorHAnsi"/>
          <w:bCs/>
          <w:sz w:val="24"/>
          <w:szCs w:val="24"/>
          <w:lang w:val="lv-LV"/>
        </w:rPr>
        <w:t>Gada vidējā satiksmes intensitāte uz rekonstruētajiem posmiem ir būtiski pieaugusi</w:t>
      </w:r>
      <w:r w:rsidR="00A263B1" w:rsidRPr="002D30B4">
        <w:rPr>
          <w:rFonts w:cstheme="minorHAnsi"/>
          <w:bCs/>
          <w:sz w:val="24"/>
          <w:szCs w:val="24"/>
          <w:lang w:val="lv-LV"/>
        </w:rPr>
        <w:t>, s</w:t>
      </w:r>
      <w:r w:rsidRPr="002D30B4">
        <w:rPr>
          <w:rFonts w:cstheme="minorHAnsi"/>
          <w:bCs/>
          <w:sz w:val="24"/>
          <w:szCs w:val="24"/>
          <w:lang w:val="lv-LV"/>
        </w:rPr>
        <w:t>alīdzinot ar datiem par periodu pirms projekta</w:t>
      </w:r>
      <w:r w:rsidR="00A263B1" w:rsidRPr="002D30B4">
        <w:rPr>
          <w:rFonts w:cstheme="minorHAnsi"/>
          <w:bCs/>
          <w:sz w:val="24"/>
          <w:szCs w:val="24"/>
          <w:lang w:val="lv-LV"/>
        </w:rPr>
        <w:t xml:space="preserve"> īstenošanas uzsākšanas: </w:t>
      </w:r>
    </w:p>
    <w:p w14:paraId="547EC9AE" w14:textId="700FEDF7" w:rsidR="000B2A57" w:rsidRDefault="001F448D" w:rsidP="001A7755">
      <w:pPr>
        <w:pStyle w:val="ListParagraph"/>
        <w:numPr>
          <w:ilvl w:val="0"/>
          <w:numId w:val="4"/>
        </w:numPr>
        <w:jc w:val="both"/>
        <w:rPr>
          <w:rFonts w:cstheme="minorHAnsi"/>
          <w:bCs/>
          <w:sz w:val="24"/>
          <w:szCs w:val="24"/>
          <w:lang w:val="lv-LV"/>
        </w:rPr>
      </w:pPr>
      <w:r w:rsidRPr="0042595B">
        <w:rPr>
          <w:rFonts w:cstheme="minorHAnsi"/>
          <w:bCs/>
          <w:sz w:val="24"/>
          <w:szCs w:val="24"/>
          <w:lang w:val="lv-LV"/>
        </w:rPr>
        <w:lastRenderedPageBreak/>
        <w:t xml:space="preserve">Uz P75 </w:t>
      </w:r>
      <w:r w:rsidRPr="0042595B">
        <w:rPr>
          <w:rFonts w:cstheme="minorHAnsi"/>
          <w:b/>
          <w:sz w:val="24"/>
          <w:szCs w:val="24"/>
          <w:lang w:val="lv-LV"/>
        </w:rPr>
        <w:t xml:space="preserve">pieaugums par </w:t>
      </w:r>
      <w:r w:rsidR="00A263B1" w:rsidRPr="0042595B">
        <w:rPr>
          <w:rFonts w:cstheme="minorHAnsi"/>
          <w:b/>
          <w:sz w:val="24"/>
          <w:szCs w:val="24"/>
          <w:lang w:val="lv-LV"/>
        </w:rPr>
        <w:t>275%</w:t>
      </w:r>
      <w:r w:rsidRPr="0042595B">
        <w:rPr>
          <w:rFonts w:cstheme="minorHAnsi"/>
          <w:b/>
          <w:sz w:val="24"/>
          <w:szCs w:val="24"/>
          <w:lang w:val="lv-LV"/>
        </w:rPr>
        <w:t>,</w:t>
      </w:r>
      <w:r w:rsidRPr="0042595B">
        <w:rPr>
          <w:rFonts w:cstheme="minorHAnsi"/>
          <w:bCs/>
          <w:sz w:val="24"/>
          <w:szCs w:val="24"/>
          <w:lang w:val="lv-LV"/>
        </w:rPr>
        <w:t xml:space="preserve"> </w:t>
      </w:r>
      <w:r w:rsidR="0042595B" w:rsidRPr="0042595B">
        <w:rPr>
          <w:rFonts w:cstheme="minorHAnsi"/>
          <w:bCs/>
          <w:sz w:val="24"/>
          <w:szCs w:val="24"/>
          <w:lang w:val="lv-LV"/>
        </w:rPr>
        <w:t xml:space="preserve">Uz V961 </w:t>
      </w:r>
      <w:r w:rsidR="0042595B" w:rsidRPr="0042595B">
        <w:rPr>
          <w:rFonts w:cstheme="minorHAnsi"/>
          <w:b/>
          <w:sz w:val="24"/>
          <w:szCs w:val="24"/>
          <w:lang w:val="lv-LV"/>
        </w:rPr>
        <w:t>pie</w:t>
      </w:r>
      <w:r w:rsidR="0042595B">
        <w:rPr>
          <w:rFonts w:cstheme="minorHAnsi"/>
          <w:b/>
          <w:sz w:val="24"/>
          <w:szCs w:val="24"/>
          <w:lang w:val="lv-LV"/>
        </w:rPr>
        <w:t>au</w:t>
      </w:r>
      <w:r w:rsidR="0042595B" w:rsidRPr="0042595B">
        <w:rPr>
          <w:rFonts w:cstheme="minorHAnsi"/>
          <w:b/>
          <w:sz w:val="24"/>
          <w:szCs w:val="24"/>
          <w:lang w:val="lv-LV"/>
        </w:rPr>
        <w:t>gums par 75%</w:t>
      </w:r>
      <w:r w:rsidR="0042595B" w:rsidRPr="0042595B">
        <w:rPr>
          <w:rFonts w:cstheme="minorHAnsi"/>
          <w:b/>
          <w:sz w:val="24"/>
          <w:szCs w:val="24"/>
          <w:lang w:val="lv-LV"/>
        </w:rPr>
        <w:t xml:space="preserve">, </w:t>
      </w:r>
      <w:r w:rsidRPr="0042595B">
        <w:rPr>
          <w:rFonts w:cstheme="minorHAnsi"/>
          <w:bCs/>
          <w:sz w:val="24"/>
          <w:szCs w:val="24"/>
          <w:lang w:val="lv-LV"/>
        </w:rPr>
        <w:t xml:space="preserve">kas skaidrojams ar faktu, ka ceļa posms pirms būvdarbu veikšanas bija kritiskā stāvoklī un veiktie ceļa kvalitātes </w:t>
      </w:r>
      <w:r w:rsidR="0049707A" w:rsidRPr="0042595B">
        <w:rPr>
          <w:rFonts w:cstheme="minorHAnsi"/>
          <w:bCs/>
          <w:sz w:val="24"/>
          <w:szCs w:val="24"/>
          <w:lang w:val="lv-LV"/>
        </w:rPr>
        <w:t xml:space="preserve">uzlabošanas pasākumi ir būtiski veicinājuši </w:t>
      </w:r>
      <w:r w:rsidR="007D0CD5" w:rsidRPr="0042595B">
        <w:rPr>
          <w:rFonts w:cstheme="minorHAnsi"/>
          <w:bCs/>
          <w:sz w:val="24"/>
          <w:szCs w:val="24"/>
          <w:lang w:val="lv-LV"/>
        </w:rPr>
        <w:t xml:space="preserve">satiksmes dalībnieku interesi izmantot šo savienojumu starp Neretu un </w:t>
      </w:r>
      <w:proofErr w:type="spellStart"/>
      <w:r w:rsidR="007D0CD5" w:rsidRPr="0042595B">
        <w:rPr>
          <w:rFonts w:cstheme="minorHAnsi"/>
          <w:bCs/>
          <w:sz w:val="24"/>
          <w:szCs w:val="24"/>
          <w:lang w:val="lv-LV"/>
        </w:rPr>
        <w:t>Pandelis</w:t>
      </w:r>
      <w:proofErr w:type="spellEnd"/>
      <w:r w:rsidR="007D0CD5" w:rsidRPr="0042595B">
        <w:rPr>
          <w:rFonts w:cstheme="minorHAnsi"/>
          <w:bCs/>
          <w:sz w:val="24"/>
          <w:szCs w:val="24"/>
          <w:lang w:val="lv-LV"/>
        </w:rPr>
        <w:t>.</w:t>
      </w:r>
      <w:r w:rsidR="000B2A57">
        <w:rPr>
          <w:rFonts w:cstheme="minorHAnsi"/>
          <w:bCs/>
          <w:sz w:val="24"/>
          <w:szCs w:val="24"/>
          <w:lang w:val="lv-LV"/>
        </w:rPr>
        <w:t xml:space="preserve"> Arī Lietuvas pusē faktiski būvdarbi 2019.gadā bija pabeigti. </w:t>
      </w:r>
      <w:r w:rsidR="007D0CD5" w:rsidRPr="0042595B">
        <w:rPr>
          <w:rFonts w:cstheme="minorHAnsi"/>
          <w:bCs/>
          <w:sz w:val="24"/>
          <w:szCs w:val="24"/>
          <w:lang w:val="lv-LV"/>
        </w:rPr>
        <w:t xml:space="preserve"> </w:t>
      </w:r>
    </w:p>
    <w:p w14:paraId="2BF123B9" w14:textId="6A500043" w:rsidR="000B2A57" w:rsidRDefault="00B76983" w:rsidP="001A7755">
      <w:pPr>
        <w:pStyle w:val="ListParagraph"/>
        <w:numPr>
          <w:ilvl w:val="0"/>
          <w:numId w:val="4"/>
        </w:numPr>
        <w:jc w:val="both"/>
        <w:rPr>
          <w:rFonts w:cstheme="minorHAnsi"/>
          <w:bCs/>
          <w:sz w:val="24"/>
          <w:szCs w:val="24"/>
          <w:lang w:val="lv-LV"/>
        </w:rPr>
      </w:pPr>
      <w:r w:rsidRPr="000B2A57">
        <w:rPr>
          <w:rFonts w:cstheme="minorHAnsi"/>
          <w:bCs/>
          <w:sz w:val="24"/>
          <w:szCs w:val="24"/>
          <w:lang w:val="lv-LV"/>
        </w:rPr>
        <w:t xml:space="preserve">Uz V1028 </w:t>
      </w:r>
      <w:r w:rsidR="00E43696">
        <w:rPr>
          <w:rFonts w:cstheme="minorHAnsi"/>
          <w:bCs/>
          <w:sz w:val="24"/>
          <w:szCs w:val="24"/>
          <w:lang w:val="lv-LV"/>
        </w:rPr>
        <w:t xml:space="preserve">virzienā uz </w:t>
      </w:r>
      <w:proofErr w:type="spellStart"/>
      <w:r w:rsidR="00E43696">
        <w:rPr>
          <w:rFonts w:cstheme="minorHAnsi"/>
          <w:bCs/>
          <w:sz w:val="24"/>
          <w:szCs w:val="24"/>
          <w:lang w:val="lv-LV"/>
        </w:rPr>
        <w:t>Žeimelis</w:t>
      </w:r>
      <w:proofErr w:type="spellEnd"/>
      <w:r w:rsidR="00E43696">
        <w:rPr>
          <w:rFonts w:cstheme="minorHAnsi"/>
          <w:bCs/>
          <w:sz w:val="24"/>
          <w:szCs w:val="24"/>
          <w:lang w:val="lv-LV"/>
        </w:rPr>
        <w:t xml:space="preserve"> </w:t>
      </w:r>
      <w:r w:rsidRPr="000B2A57">
        <w:rPr>
          <w:rFonts w:cstheme="minorHAnsi"/>
          <w:bCs/>
          <w:sz w:val="24"/>
          <w:szCs w:val="24"/>
          <w:lang w:val="lv-LV"/>
        </w:rPr>
        <w:t xml:space="preserve">gada vidējā diennakts intensitāte 2019.gadā </w:t>
      </w:r>
      <w:r w:rsidRPr="00477CDF">
        <w:rPr>
          <w:rFonts w:cstheme="minorHAnsi"/>
          <w:b/>
          <w:sz w:val="24"/>
          <w:szCs w:val="24"/>
          <w:lang w:val="lv-LV"/>
        </w:rPr>
        <w:t xml:space="preserve">kritusies par </w:t>
      </w:r>
      <w:r w:rsidR="001029A8" w:rsidRPr="00477CDF">
        <w:rPr>
          <w:rFonts w:cstheme="minorHAnsi"/>
          <w:b/>
          <w:sz w:val="24"/>
          <w:szCs w:val="24"/>
          <w:lang w:val="lv-LV"/>
        </w:rPr>
        <w:t>9,3 %,</w:t>
      </w:r>
      <w:r w:rsidR="001029A8" w:rsidRPr="000B2A57">
        <w:rPr>
          <w:rFonts w:cstheme="minorHAnsi"/>
          <w:bCs/>
          <w:sz w:val="24"/>
          <w:szCs w:val="24"/>
          <w:lang w:val="lv-LV"/>
        </w:rPr>
        <w:t xml:space="preserve"> kas skaidrojams ar to, ka šajā ceļa posmā gan Latvijas, gan Lietuvas pusē 2018., 2019</w:t>
      </w:r>
      <w:r w:rsidR="00D97FFA" w:rsidRPr="000B2A57">
        <w:rPr>
          <w:rFonts w:cstheme="minorHAnsi"/>
          <w:bCs/>
          <w:sz w:val="24"/>
          <w:szCs w:val="24"/>
          <w:lang w:val="lv-LV"/>
        </w:rPr>
        <w:t xml:space="preserve">., 2020.gadā norisinājās būvdarbi. Objektīvus datus par projekta ietekmi varēs iegūt </w:t>
      </w:r>
      <w:r w:rsidR="0039256C" w:rsidRPr="000B2A57">
        <w:rPr>
          <w:rFonts w:cstheme="minorHAnsi"/>
          <w:bCs/>
          <w:sz w:val="24"/>
          <w:szCs w:val="24"/>
          <w:lang w:val="lv-LV"/>
        </w:rPr>
        <w:t xml:space="preserve">2021.gadā vai vēlākā periodā. </w:t>
      </w:r>
    </w:p>
    <w:p w14:paraId="19C826CE" w14:textId="78988315" w:rsidR="000B2A57" w:rsidRPr="002F01D8" w:rsidRDefault="000B2A57" w:rsidP="001A7755">
      <w:pPr>
        <w:pStyle w:val="ListParagraph"/>
        <w:numPr>
          <w:ilvl w:val="0"/>
          <w:numId w:val="4"/>
        </w:numPr>
        <w:jc w:val="both"/>
        <w:rPr>
          <w:rFonts w:cstheme="minorHAnsi"/>
          <w:bCs/>
          <w:sz w:val="24"/>
          <w:szCs w:val="24"/>
          <w:lang w:val="lv-LV"/>
        </w:rPr>
      </w:pPr>
      <w:r>
        <w:rPr>
          <w:rFonts w:cstheme="minorHAnsi"/>
          <w:bCs/>
          <w:sz w:val="24"/>
          <w:szCs w:val="24"/>
          <w:lang w:val="lv-LV"/>
        </w:rPr>
        <w:t>Uz P106</w:t>
      </w:r>
      <w:r w:rsidR="007055E5">
        <w:rPr>
          <w:rFonts w:cstheme="minorHAnsi"/>
          <w:bCs/>
          <w:sz w:val="24"/>
          <w:szCs w:val="24"/>
          <w:lang w:val="lv-LV"/>
        </w:rPr>
        <w:t xml:space="preserve">, kur darbi tika pabeigti 2018.gada būvsezonā, gada vidējās satiksmes intensitātes </w:t>
      </w:r>
      <w:r w:rsidR="007055E5" w:rsidRPr="00477CDF">
        <w:rPr>
          <w:rFonts w:cstheme="minorHAnsi"/>
          <w:b/>
          <w:sz w:val="24"/>
          <w:szCs w:val="24"/>
          <w:lang w:val="lv-LV"/>
        </w:rPr>
        <w:t>pieaugums</w:t>
      </w:r>
      <w:r w:rsidR="00477CDF" w:rsidRPr="00477CDF">
        <w:rPr>
          <w:rFonts w:cstheme="minorHAnsi"/>
          <w:b/>
          <w:sz w:val="24"/>
          <w:szCs w:val="24"/>
          <w:lang w:val="lv-LV"/>
        </w:rPr>
        <w:t xml:space="preserve"> </w:t>
      </w:r>
      <w:r w:rsidR="00477CDF">
        <w:rPr>
          <w:rFonts w:cstheme="minorHAnsi"/>
          <w:bCs/>
          <w:sz w:val="24"/>
          <w:szCs w:val="24"/>
          <w:lang w:val="lv-LV"/>
        </w:rPr>
        <w:t xml:space="preserve">2019.gadā vērojams </w:t>
      </w:r>
      <w:r w:rsidR="00477CDF" w:rsidRPr="00477CDF">
        <w:rPr>
          <w:rFonts w:cstheme="minorHAnsi"/>
          <w:b/>
          <w:sz w:val="24"/>
          <w:szCs w:val="24"/>
          <w:lang w:val="lv-LV"/>
        </w:rPr>
        <w:t>29% apmērā</w:t>
      </w:r>
      <w:r w:rsidR="00065924">
        <w:rPr>
          <w:rFonts w:cstheme="minorHAnsi"/>
          <w:b/>
          <w:sz w:val="24"/>
          <w:szCs w:val="24"/>
          <w:lang w:val="lv-LV"/>
        </w:rPr>
        <w:t xml:space="preserve">. </w:t>
      </w:r>
    </w:p>
    <w:p w14:paraId="0DE9ABFA" w14:textId="00D876A6" w:rsidR="002F01D8" w:rsidRDefault="002F01D8" w:rsidP="002F01D8">
      <w:pPr>
        <w:rPr>
          <w:rFonts w:cstheme="minorHAnsi"/>
          <w:bCs/>
          <w:sz w:val="24"/>
          <w:szCs w:val="24"/>
          <w:lang w:val="lv-LV"/>
        </w:rPr>
      </w:pPr>
    </w:p>
    <w:p w14:paraId="0B4C62F3" w14:textId="77777777" w:rsidR="002F01D8" w:rsidRPr="002F01D8" w:rsidRDefault="002F01D8" w:rsidP="002F01D8">
      <w:pPr>
        <w:rPr>
          <w:rFonts w:cstheme="minorHAnsi"/>
          <w:bCs/>
          <w:sz w:val="24"/>
          <w:szCs w:val="24"/>
          <w:lang w:val="lv-LV"/>
        </w:rPr>
      </w:pPr>
    </w:p>
    <w:sectPr w:rsidR="002F01D8" w:rsidRPr="002F01D8" w:rsidSect="0049707A">
      <w:headerReference w:type="default" r:id="rId8"/>
      <w:pgSz w:w="15840" w:h="12240" w:orient="landscape"/>
      <w:pgMar w:top="1276" w:right="814" w:bottom="7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4387B" w14:textId="77777777" w:rsidR="00E67BD1" w:rsidRDefault="00E67BD1" w:rsidP="00C90404">
      <w:pPr>
        <w:spacing w:after="0" w:line="240" w:lineRule="auto"/>
      </w:pPr>
      <w:r>
        <w:separator/>
      </w:r>
    </w:p>
  </w:endnote>
  <w:endnote w:type="continuationSeparator" w:id="0">
    <w:p w14:paraId="7FA067B7" w14:textId="77777777" w:rsidR="00E67BD1" w:rsidRDefault="00E67BD1" w:rsidP="00C9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 Baltic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70E34" w14:textId="77777777" w:rsidR="00E67BD1" w:rsidRDefault="00E67BD1" w:rsidP="00C90404">
      <w:pPr>
        <w:spacing w:after="0" w:line="240" w:lineRule="auto"/>
      </w:pPr>
      <w:r>
        <w:separator/>
      </w:r>
    </w:p>
  </w:footnote>
  <w:footnote w:type="continuationSeparator" w:id="0">
    <w:p w14:paraId="1E1B15B1" w14:textId="77777777" w:rsidR="00E67BD1" w:rsidRDefault="00E67BD1" w:rsidP="00C90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23280" w14:textId="77777777" w:rsidR="00C90404" w:rsidRDefault="00C90404">
    <w:pPr>
      <w:pStyle w:val="Header"/>
    </w:pPr>
    <w:r>
      <w:rPr>
        <w:noProof/>
        <w:lang w:val="lv-LV" w:eastAsia="lv-LV"/>
      </w:rPr>
      <w:drawing>
        <wp:inline distT="0" distB="0" distL="0" distR="0" wp14:anchorId="4471BF19" wp14:editId="5ABCFC38">
          <wp:extent cx="2139950" cy="694690"/>
          <wp:effectExtent l="0" t="0" r="0" b="0"/>
          <wp:docPr id="5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C040C"/>
    <w:multiLevelType w:val="hybridMultilevel"/>
    <w:tmpl w:val="BDD64F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E1113"/>
    <w:multiLevelType w:val="hybridMultilevel"/>
    <w:tmpl w:val="955454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A1627"/>
    <w:multiLevelType w:val="hybridMultilevel"/>
    <w:tmpl w:val="DD2A3D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B2D5F"/>
    <w:multiLevelType w:val="hybridMultilevel"/>
    <w:tmpl w:val="565ECFB8"/>
    <w:lvl w:ilvl="0" w:tplc="6324E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0C4ECE"/>
    <w:multiLevelType w:val="hybridMultilevel"/>
    <w:tmpl w:val="0AE6804E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404"/>
    <w:rsid w:val="00052138"/>
    <w:rsid w:val="00065924"/>
    <w:rsid w:val="00070A23"/>
    <w:rsid w:val="00076E3A"/>
    <w:rsid w:val="000B225A"/>
    <w:rsid w:val="000B2A57"/>
    <w:rsid w:val="000E587C"/>
    <w:rsid w:val="000E5ECE"/>
    <w:rsid w:val="001029A8"/>
    <w:rsid w:val="00162972"/>
    <w:rsid w:val="00180B9A"/>
    <w:rsid w:val="001A7755"/>
    <w:rsid w:val="001B2928"/>
    <w:rsid w:val="001D26B8"/>
    <w:rsid w:val="001F448D"/>
    <w:rsid w:val="002042B9"/>
    <w:rsid w:val="002B2BE2"/>
    <w:rsid w:val="002C14A6"/>
    <w:rsid w:val="002C3D90"/>
    <w:rsid w:val="002D30B4"/>
    <w:rsid w:val="002F01D8"/>
    <w:rsid w:val="00352274"/>
    <w:rsid w:val="0039256C"/>
    <w:rsid w:val="003A3916"/>
    <w:rsid w:val="003E6D8D"/>
    <w:rsid w:val="004140F1"/>
    <w:rsid w:val="0042595B"/>
    <w:rsid w:val="00460EED"/>
    <w:rsid w:val="00462FBB"/>
    <w:rsid w:val="00477CDF"/>
    <w:rsid w:val="0049707A"/>
    <w:rsid w:val="0052704E"/>
    <w:rsid w:val="00537502"/>
    <w:rsid w:val="00560A60"/>
    <w:rsid w:val="005863AE"/>
    <w:rsid w:val="005C30A3"/>
    <w:rsid w:val="005F64E9"/>
    <w:rsid w:val="006B3333"/>
    <w:rsid w:val="007055E5"/>
    <w:rsid w:val="007220CE"/>
    <w:rsid w:val="007368FF"/>
    <w:rsid w:val="007C242A"/>
    <w:rsid w:val="007D0CD5"/>
    <w:rsid w:val="007E5E75"/>
    <w:rsid w:val="008310CF"/>
    <w:rsid w:val="0084472A"/>
    <w:rsid w:val="0087120A"/>
    <w:rsid w:val="008B204E"/>
    <w:rsid w:val="008C0DEB"/>
    <w:rsid w:val="008E13AD"/>
    <w:rsid w:val="009171B4"/>
    <w:rsid w:val="009C7D68"/>
    <w:rsid w:val="00A263B1"/>
    <w:rsid w:val="00A75508"/>
    <w:rsid w:val="00A81607"/>
    <w:rsid w:val="00AF76C6"/>
    <w:rsid w:val="00B31C05"/>
    <w:rsid w:val="00B3430F"/>
    <w:rsid w:val="00B4278B"/>
    <w:rsid w:val="00B76983"/>
    <w:rsid w:val="00B9748C"/>
    <w:rsid w:val="00BA0D1F"/>
    <w:rsid w:val="00BD431D"/>
    <w:rsid w:val="00BE381E"/>
    <w:rsid w:val="00C015FC"/>
    <w:rsid w:val="00C05F3E"/>
    <w:rsid w:val="00C3300D"/>
    <w:rsid w:val="00C90404"/>
    <w:rsid w:val="00D750FB"/>
    <w:rsid w:val="00D97FFA"/>
    <w:rsid w:val="00DD5ECC"/>
    <w:rsid w:val="00E0079E"/>
    <w:rsid w:val="00E03DE7"/>
    <w:rsid w:val="00E43696"/>
    <w:rsid w:val="00E61EC2"/>
    <w:rsid w:val="00E67BD1"/>
    <w:rsid w:val="00E827CF"/>
    <w:rsid w:val="00ED509E"/>
    <w:rsid w:val="00F31079"/>
    <w:rsid w:val="00F524F6"/>
    <w:rsid w:val="00F76F39"/>
    <w:rsid w:val="00FC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13CBB"/>
  <w15:chartTrackingRefBased/>
  <w15:docId w15:val="{D2E935A1-F891-4C17-B413-01B6A9F6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4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404"/>
  </w:style>
  <w:style w:type="paragraph" w:styleId="Footer">
    <w:name w:val="footer"/>
    <w:basedOn w:val="Normal"/>
    <w:link w:val="FooterChar"/>
    <w:uiPriority w:val="99"/>
    <w:unhideWhenUsed/>
    <w:rsid w:val="00C904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iesma\AppData\Local\Microsoft\Windows\INetCache\Content.Outlook\ZQAGFII0\EASYCROSSIN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b="1"/>
              <a:t>Gada</a:t>
            </a:r>
            <a:r>
              <a:rPr lang="lv-LV" b="1" baseline="0"/>
              <a:t> vidējās satiksmes intensitātes izmaiņas pa gadiem </a:t>
            </a:r>
          </a:p>
          <a:p>
            <a:pPr>
              <a:defRPr/>
            </a:pPr>
            <a:r>
              <a:rPr lang="lv-LV" b="0" baseline="0"/>
              <a:t>(transporta līzekļu vienību skaits) </a:t>
            </a:r>
            <a:endParaRPr lang="lv-LV" b="0"/>
          </a:p>
        </c:rich>
      </c:tx>
      <c:layout>
        <c:manualLayout>
          <c:xMode val="edge"/>
          <c:yMode val="edge"/>
          <c:x val="0.231844177372565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>
        <c:manualLayout>
          <c:layoutTarget val="inner"/>
          <c:xMode val="edge"/>
          <c:yMode val="edge"/>
          <c:x val="7.3531408573928259E-2"/>
          <c:y val="0.108928046989721"/>
          <c:w val="0.90202414698162725"/>
          <c:h val="0.57844785921583586"/>
        </c:manualLayout>
      </c:layout>
      <c:lineChart>
        <c:grouping val="stacked"/>
        <c:varyColors val="0"/>
        <c:ser>
          <c:idx val="0"/>
          <c:order val="0"/>
          <c:tx>
            <c:strRef>
              <c:f>Sheet1!$B$4</c:f>
              <c:strCache>
                <c:ptCount val="1"/>
                <c:pt idx="0">
                  <c:v>P75 Jēkabpils - LR robeža (Nereta)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Sheet1!$C$3:$F$3</c:f>
              <c:strCache>
                <c:ptCount val="4"/>
                <c:pt idx="0">
                  <c:v>Iepriekšējie gadi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strCache>
            </c:strRef>
          </c:cat>
          <c:val>
            <c:numRef>
              <c:f>Sheet1!$C$4:$F$4</c:f>
              <c:numCache>
                <c:formatCode>General</c:formatCode>
                <c:ptCount val="4"/>
                <c:pt idx="0">
                  <c:v>93</c:v>
                </c:pt>
                <c:pt idx="1">
                  <c:v>228</c:v>
                </c:pt>
                <c:pt idx="2">
                  <c:v>349</c:v>
                </c:pt>
                <c:pt idx="3">
                  <c:v>294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909-4F7A-9A29-ABBCF2111D33}"/>
            </c:ext>
          </c:extLst>
        </c:ser>
        <c:ser>
          <c:idx val="1"/>
          <c:order val="1"/>
          <c:tx>
            <c:strRef>
              <c:f>Sheet1!$B$5</c:f>
              <c:strCache>
                <c:ptCount val="1"/>
                <c:pt idx="0">
                  <c:v>V961 Nereta - Sleķi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Sheet1!$C$3:$F$3</c:f>
              <c:strCache>
                <c:ptCount val="4"/>
                <c:pt idx="0">
                  <c:v>Iepriekšējie gadi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strCache>
            </c:strRef>
          </c:cat>
          <c:val>
            <c:numRef>
              <c:f>Sheet1!$C$5:$F$5</c:f>
              <c:numCache>
                <c:formatCode>General</c:formatCode>
                <c:ptCount val="4"/>
                <c:pt idx="0">
                  <c:v>140</c:v>
                </c:pt>
                <c:pt idx="1">
                  <c:v>218</c:v>
                </c:pt>
                <c:pt idx="2">
                  <c:v>245</c:v>
                </c:pt>
                <c:pt idx="3">
                  <c:v>271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909-4F7A-9A29-ABBCF2111D33}"/>
            </c:ext>
          </c:extLst>
        </c:ser>
        <c:ser>
          <c:idx val="2"/>
          <c:order val="2"/>
          <c:tx>
            <c:strRef>
              <c:f>Sheet1!$B$6</c:f>
              <c:strCache>
                <c:ptCount val="1"/>
                <c:pt idx="0">
                  <c:v>V1028 Bauska - Bērzi - Ādžūni - Lietuvas robeža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Sheet1!$C$3:$F$3</c:f>
              <c:strCache>
                <c:ptCount val="4"/>
                <c:pt idx="0">
                  <c:v>Iepriekšējie gadi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strCache>
            </c:strRef>
          </c:cat>
          <c:val>
            <c:numRef>
              <c:f>Sheet1!$C$6:$F$6</c:f>
              <c:numCache>
                <c:formatCode>General</c:formatCode>
                <c:ptCount val="4"/>
                <c:pt idx="0">
                  <c:v>1528</c:v>
                </c:pt>
                <c:pt idx="1">
                  <c:v>1382</c:v>
                </c:pt>
                <c:pt idx="2">
                  <c:v>1386</c:v>
                </c:pt>
                <c:pt idx="3">
                  <c:v>1501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909-4F7A-9A29-ABBCF2111D33}"/>
            </c:ext>
          </c:extLst>
        </c:ser>
        <c:ser>
          <c:idx val="3"/>
          <c:order val="3"/>
          <c:tx>
            <c:strRef>
              <c:f>Sheet1!$B$7</c:f>
              <c:strCache>
                <c:ptCount val="1"/>
                <c:pt idx="0">
                  <c:v>P106 Ezere - Embūte – Grobiņa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Sheet1!$C$3:$F$3</c:f>
              <c:strCache>
                <c:ptCount val="4"/>
                <c:pt idx="0">
                  <c:v>Iepriekšējie gadi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strCache>
            </c:strRef>
          </c:cat>
          <c:val>
            <c:numRef>
              <c:f>Sheet1!$C$7:$F$7</c:f>
              <c:numCache>
                <c:formatCode>General</c:formatCode>
                <c:ptCount val="4"/>
                <c:pt idx="0">
                  <c:v>967</c:v>
                </c:pt>
                <c:pt idx="1">
                  <c:v>1223</c:v>
                </c:pt>
                <c:pt idx="2">
                  <c:v>1248</c:v>
                </c:pt>
                <c:pt idx="3">
                  <c:v>1125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909-4F7A-9A29-ABBCF2111D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6908352"/>
        <c:axId val="406910320"/>
      </c:lineChart>
      <c:catAx>
        <c:axId val="406908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406910320"/>
        <c:crosses val="autoZero"/>
        <c:auto val="1"/>
        <c:lblAlgn val="ctr"/>
        <c:lblOffset val="100"/>
        <c:noMultiLvlLbl val="0"/>
      </c:catAx>
      <c:valAx>
        <c:axId val="406910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406908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1486789151356075E-2"/>
          <c:y val="0.81717992299420728"/>
          <c:w val="0.87035975503062113"/>
          <c:h val="9.47143501335460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1686</Words>
  <Characters>962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Liesma Grīnberga</dc:creator>
  <cp:keywords/>
  <dc:description/>
  <cp:lastModifiedBy>Liesma Grīnberga</cp:lastModifiedBy>
  <cp:revision>54</cp:revision>
  <dcterms:created xsi:type="dcterms:W3CDTF">2020-10-16T08:27:00Z</dcterms:created>
  <dcterms:modified xsi:type="dcterms:W3CDTF">2020-10-16T12:34:00Z</dcterms:modified>
</cp:coreProperties>
</file>