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Times New Roman" w:cs="Times New Roman" w:eastAsia="Times New Roman" w:hAnsi="Times New Roman"/>
          <w:b w:val="1"/>
          <w:sz w:val="28"/>
          <w:szCs w:val="28"/>
          <w:rtl w:val="0"/>
        </w:rPr>
        <w:t xml:space="preserve">            EEZ/Norvēģijas grantu 2014. – 2021. gada perioda ieviešanas struktūrshēma</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9187705" cy="50635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87705" cy="5063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pos="11580"/>
        </w:tabs>
        <w:rPr/>
      </w:pPr>
      <w:r w:rsidDel="00000000" w:rsidR="00000000" w:rsidRPr="00000000">
        <w:rPr>
          <w:rtl w:val="0"/>
        </w:rPr>
        <w:tab/>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Īss apraksts, kurš iekļaujams zem shēmām par katru no struktūrām:</w:t>
      </w:r>
    </w:p>
    <w:p w:rsidR="00000000" w:rsidDel="00000000" w:rsidP="00000000" w:rsidRDefault="00000000" w:rsidRPr="00000000" w14:paraId="00000006">
      <w:pPr>
        <w:tabs>
          <w:tab w:val="left" w:pos="3777"/>
        </w:tabs>
        <w:ind w:right="-10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Donorvalstis:</w:t>
      </w:r>
      <w:r w:rsidDel="00000000" w:rsidR="00000000" w:rsidRPr="00000000">
        <w:rPr>
          <w:rFonts w:ascii="Times New Roman" w:cs="Times New Roman" w:eastAsia="Times New Roman" w:hAnsi="Times New Roman"/>
          <w:sz w:val="24"/>
          <w:szCs w:val="24"/>
          <w:rtl w:val="0"/>
        </w:rPr>
        <w:t xml:space="preserve"> Islande, Lihtenšteinas Firstiste un Norvēģijas Karaliste.</w:t>
      </w:r>
    </w:p>
    <w:p w:rsidR="00000000" w:rsidDel="00000000" w:rsidP="00000000" w:rsidRDefault="00000000" w:rsidRPr="00000000" w14:paraId="00000007">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Finanšu instrumenta birojs</w:t>
      </w:r>
      <w:r w:rsidDel="00000000" w:rsidR="00000000" w:rsidRPr="00000000">
        <w:rPr>
          <w:rFonts w:ascii="Times New Roman" w:cs="Times New Roman" w:eastAsia="Times New Roman" w:hAnsi="Times New Roman"/>
          <w:color w:val="ff0000"/>
          <w:sz w:val="24"/>
          <w:szCs w:val="24"/>
          <w:rtl w:val="0"/>
        </w:rPr>
        <w:t xml:space="preserve"> (kā links uz FIB (eeagrants.org) kontaktu sadaļu)</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EEZ/Norvēģijas grantu atbildīgā institūcija, kura no donorvalstu puses nodrošina grantu darbību, darbojas kā kontaktpunkts starp donorvalstīm un 15 EEZ/Norvēģijas grantu saņēmējvalstīm (Latvija, Igaunija, Lietuva, Bulgārija, Horvātija, Kipra, Čehijas Republika, Grieķija, Ungārija, Maltā, Polija, Portugāle, Rumānija, Slovākija un Slovēnija). Finanšu instrumenta birojs izstrādā vadlīnijas, noteikumus un nodrošina grantu uzraudzību, kontroli un novērtēšanu visās saņēmējvalstīs. </w:t>
      </w:r>
    </w:p>
    <w:p w:rsidR="00000000" w:rsidDel="00000000" w:rsidP="00000000" w:rsidRDefault="00000000" w:rsidRPr="00000000" w14:paraId="00000008">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Vadošā iestāde:</w:t>
      </w:r>
      <w:r w:rsidDel="00000000" w:rsidR="00000000" w:rsidRPr="00000000">
        <w:rPr>
          <w:rFonts w:ascii="Times New Roman" w:cs="Times New Roman" w:eastAsia="Times New Roman" w:hAnsi="Times New Roman"/>
          <w:sz w:val="24"/>
          <w:szCs w:val="24"/>
          <w:rtl w:val="0"/>
        </w:rPr>
        <w:t xml:space="preserve"> nodrošina EEZ/Norvēģijas grantu mērķu sasniegšanu Latvijā, donorvalstu apstiprināto programmu vispārēju pārvaldību un uzraudzību. </w:t>
      </w:r>
      <w:r w:rsidDel="00000000" w:rsidR="00000000" w:rsidRPr="00000000">
        <w:rPr>
          <w:rFonts w:ascii="Times New Roman" w:cs="Times New Roman" w:eastAsia="Times New Roman" w:hAnsi="Times New Roman"/>
          <w:sz w:val="24"/>
          <w:szCs w:val="24"/>
          <w:highlight w:val="yellow"/>
          <w:rtl w:val="0"/>
        </w:rPr>
        <w:t xml:space="preserve">Vadošās iestādes funkcijas Latvijā pilda Finanšu ministrija.</w:t>
      </w:r>
      <w:r w:rsidDel="00000000" w:rsidR="00000000" w:rsidRPr="00000000">
        <w:rPr>
          <w:rtl w:val="0"/>
        </w:rPr>
      </w:r>
    </w:p>
    <w:p w:rsidR="00000000" w:rsidDel="00000000" w:rsidP="00000000" w:rsidRDefault="00000000" w:rsidRPr="00000000" w14:paraId="00000009">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Sertifikācijas iestāde:</w:t>
      </w:r>
      <w:r w:rsidDel="00000000" w:rsidR="00000000" w:rsidRPr="00000000">
        <w:rPr>
          <w:rFonts w:ascii="Times New Roman" w:cs="Times New Roman" w:eastAsia="Times New Roman" w:hAnsi="Times New Roman"/>
          <w:sz w:val="24"/>
          <w:szCs w:val="24"/>
          <w:rtl w:val="0"/>
        </w:rPr>
        <w:t xml:space="preserve"> pārbauda un sertificē pārskatos iekļautos izdevumus, sniedz donorvalstīm pārskatus par izlietoto finansējumu, un EEZ/Norvēģijas grantu pieprasījumu prognozes. </w:t>
      </w:r>
      <w:r w:rsidDel="00000000" w:rsidR="00000000" w:rsidRPr="00000000">
        <w:rPr>
          <w:rFonts w:ascii="Times New Roman" w:cs="Times New Roman" w:eastAsia="Times New Roman" w:hAnsi="Times New Roman"/>
          <w:sz w:val="24"/>
          <w:szCs w:val="24"/>
          <w:highlight w:val="yellow"/>
          <w:rtl w:val="0"/>
        </w:rPr>
        <w:t xml:space="preserve">Sertifikācijas iestādes funkcijas Latvijā pilda Valsts kase.</w:t>
      </w:r>
      <w:r w:rsidDel="00000000" w:rsidR="00000000" w:rsidRPr="00000000">
        <w:rPr>
          <w:rtl w:val="0"/>
        </w:rPr>
      </w:r>
    </w:p>
    <w:p w:rsidR="00000000" w:rsidDel="00000000" w:rsidP="00000000" w:rsidRDefault="00000000" w:rsidRPr="00000000" w14:paraId="0000000A">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Revīzijas iestāde:</w:t>
      </w:r>
      <w:r w:rsidDel="00000000" w:rsidR="00000000" w:rsidRPr="00000000">
        <w:rPr>
          <w:rFonts w:ascii="Times New Roman" w:cs="Times New Roman" w:eastAsia="Times New Roman" w:hAnsi="Times New Roman"/>
          <w:sz w:val="24"/>
          <w:szCs w:val="24"/>
          <w:rtl w:val="0"/>
        </w:rPr>
        <w:t xml:space="preserve"> veic vadošās iestādes un programmu apsaimniekotāju vadības un kontroles sistēmu auditus par atbilstību donorvalstu noteiktajām prasībām, apstiprināto projektu auditus, sagatavo audita stratēģiju, nodrošina auditu ieteikumu ieviešanas uzraudzību. Revīzijas iestādes funkcijas Latvijā pilda Finanšu ministrijas Eiropas Savienības fondu revīzijas departaments.</w:t>
      </w:r>
    </w:p>
    <w:p w:rsidR="00000000" w:rsidDel="00000000" w:rsidP="00000000" w:rsidRDefault="00000000" w:rsidRPr="00000000" w14:paraId="0000000B">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Iepirkumu uzraudzības birojs</w:t>
      </w:r>
      <w:r w:rsidDel="00000000" w:rsidR="00000000" w:rsidRPr="00000000">
        <w:rPr>
          <w:rFonts w:ascii="Times New Roman" w:cs="Times New Roman" w:eastAsia="Times New Roman" w:hAnsi="Times New Roman"/>
          <w:sz w:val="24"/>
          <w:szCs w:val="24"/>
          <w:rtl w:val="0"/>
        </w:rPr>
        <w:t xml:space="preserve"> (IUB): nodrošina projektu un iepriekš noteikto projektu publiskā iepirkuma dokumentācijas un iepirkuma procedūras norises izlases veida pirmspārbaudes, izstrādā pirmspārbaužu metodiku.</w:t>
      </w:r>
    </w:p>
    <w:p w:rsidR="00000000" w:rsidDel="00000000" w:rsidP="00000000" w:rsidRDefault="00000000" w:rsidRPr="00000000" w14:paraId="0000000C">
      <w:pPr>
        <w:tabs>
          <w:tab w:val="left" w:pos="3777"/>
        </w:tabs>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Programmu apsaimniekotāji</w:t>
      </w:r>
      <w:r w:rsidDel="00000000" w:rsidR="00000000" w:rsidRPr="00000000">
        <w:rPr>
          <w:rFonts w:ascii="Times New Roman" w:cs="Times New Roman" w:eastAsia="Times New Roman" w:hAnsi="Times New Roman"/>
          <w:color w:val="ff0000"/>
          <w:sz w:val="24"/>
          <w:szCs w:val="24"/>
          <w:rtl w:val="0"/>
        </w:rPr>
        <w:t xml:space="preserve"> (kā links uz Kontaktu sadaļu)</w:t>
      </w:r>
      <w:r w:rsidDel="00000000" w:rsidR="00000000" w:rsidRPr="00000000">
        <w:rPr>
          <w:rFonts w:ascii="Times New Roman" w:cs="Times New Roman" w:eastAsia="Times New Roman" w:hAnsi="Times New Roman"/>
          <w:sz w:val="24"/>
          <w:szCs w:val="24"/>
          <w:rtl w:val="0"/>
        </w:rPr>
        <w:t xml:space="preserve">:  ir atbildīgi par programmu izstrādi un īstenošanu, projektu konkursu izsludināšanu un atlasi, līgumu slēgšanu un projektu īstenošanas uzraudzību saskaņā ar saimnieciskuma, lietderības un efektivitātes principiem. </w:t>
      </w:r>
      <w:r w:rsidDel="00000000" w:rsidR="00000000" w:rsidRPr="00000000">
        <w:rPr>
          <w:rFonts w:ascii="Times New Roman" w:cs="Times New Roman" w:eastAsia="Times New Roman" w:hAnsi="Times New Roman"/>
          <w:sz w:val="24"/>
          <w:szCs w:val="24"/>
          <w:highlight w:val="yellow"/>
          <w:rtl w:val="0"/>
        </w:rPr>
        <w:t xml:space="preserve">Programmu apsaimniekotāju funkcijas Latvijā veic  Nozaru ministrijas.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tabs>
          <w:tab w:val="left" w:pos="3777"/>
        </w:tabs>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pPr>
      <w:bookmarkStart w:colFirst="0" w:colLast="0" w:name="_gjdgxs" w:id="0"/>
      <w:bookmarkEnd w:id="0"/>
      <w:r w:rsidDel="00000000" w:rsidR="00000000" w:rsidRPr="00000000">
        <w:rPr>
          <w:rtl w:val="0"/>
        </w:rPr>
      </w:r>
    </w:p>
    <w:sectPr>
      <w:pgSz w:h="11906" w:w="16838"/>
      <w:pgMar w:bottom="1797" w:top="709" w:left="709" w:right="167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