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64521" w14:textId="77777777" w:rsidR="006C77C3" w:rsidRPr="009D07C7" w:rsidRDefault="006C08A6" w:rsidP="008C467A">
      <w:pPr>
        <w:ind w:left="12900"/>
        <w:jc w:val="both"/>
      </w:pPr>
      <w:r>
        <w:t>5</w:t>
      </w:r>
      <w:r w:rsidR="00810144" w:rsidRPr="009D07C7">
        <w:t>.pielikums</w:t>
      </w:r>
    </w:p>
    <w:p w14:paraId="6F26D3C2" w14:textId="77777777" w:rsidR="00810144" w:rsidRDefault="00CD5912" w:rsidP="00810144">
      <w:pPr>
        <w:jc w:val="center"/>
        <w:rPr>
          <w:b/>
          <w:sz w:val="28"/>
          <w:szCs w:val="28"/>
        </w:rPr>
      </w:pPr>
      <w:bookmarkStart w:id="0" w:name="_GoBack"/>
      <w:r>
        <w:rPr>
          <w:b/>
          <w:sz w:val="28"/>
          <w:szCs w:val="28"/>
        </w:rPr>
        <w:t xml:space="preserve">Projekta </w:t>
      </w:r>
      <w:bookmarkEnd w:id="0"/>
      <w:r>
        <w:rPr>
          <w:b/>
          <w:sz w:val="28"/>
          <w:szCs w:val="28"/>
        </w:rPr>
        <w:t>ietvaros piemērojamās f</w:t>
      </w:r>
      <w:r w:rsidR="00810144" w:rsidRPr="009D07C7">
        <w:rPr>
          <w:b/>
          <w:sz w:val="28"/>
          <w:szCs w:val="28"/>
        </w:rPr>
        <w:t>inanšu korekcijas apjoma noteikšana</w:t>
      </w:r>
    </w:p>
    <w:p w14:paraId="3F96B256" w14:textId="77777777" w:rsidR="00240917" w:rsidRPr="009D07C7" w:rsidRDefault="00240917" w:rsidP="00810144">
      <w:pPr>
        <w:jc w:val="center"/>
        <w:rPr>
          <w:b/>
          <w:sz w:val="28"/>
          <w:szCs w:val="28"/>
        </w:rPr>
      </w:pPr>
    </w:p>
    <w:p w14:paraId="134466A2" w14:textId="4F7F78BF" w:rsidR="00765900" w:rsidRDefault="00CD5912" w:rsidP="002C4871">
      <w:pPr>
        <w:numPr>
          <w:ilvl w:val="0"/>
          <w:numId w:val="12"/>
        </w:numPr>
        <w:spacing w:before="120"/>
        <w:jc w:val="both"/>
        <w:rPr>
          <w:b/>
          <w:sz w:val="20"/>
          <w:szCs w:val="20"/>
        </w:rPr>
      </w:pPr>
      <w:r w:rsidRPr="00675CC6">
        <w:rPr>
          <w:sz w:val="20"/>
          <w:szCs w:val="20"/>
        </w:rPr>
        <w:t xml:space="preserve">Šo vadlīniju </w:t>
      </w:r>
      <w:r w:rsidRPr="00675CC6">
        <w:rPr>
          <w:b/>
          <w:sz w:val="20"/>
          <w:szCs w:val="20"/>
        </w:rPr>
        <w:t>pielikumu piemēro, lai noteiktu finanšu korekcijas apjomu</w:t>
      </w:r>
      <w:r w:rsidR="002F0D38">
        <w:rPr>
          <w:b/>
          <w:sz w:val="20"/>
          <w:szCs w:val="20"/>
        </w:rPr>
        <w:t>, jo īpaši</w:t>
      </w:r>
      <w:r w:rsidRPr="00675CC6">
        <w:rPr>
          <w:b/>
          <w:sz w:val="20"/>
          <w:szCs w:val="20"/>
        </w:rPr>
        <w:t xml:space="preserve"> gadījumos, kad</w:t>
      </w:r>
      <w:r w:rsidRPr="00675CC6">
        <w:rPr>
          <w:sz w:val="20"/>
          <w:szCs w:val="20"/>
        </w:rPr>
        <w:t>, konstatējot iespējamu neatbilstību, tiek secināts</w:t>
      </w:r>
      <w:r w:rsidR="00765900" w:rsidRPr="006B373A">
        <w:rPr>
          <w:sz w:val="20"/>
          <w:szCs w:val="20"/>
        </w:rPr>
        <w:t>, ka</w:t>
      </w:r>
      <w:r w:rsidR="00765900" w:rsidRPr="00765900">
        <w:rPr>
          <w:b/>
          <w:sz w:val="20"/>
          <w:szCs w:val="20"/>
        </w:rPr>
        <w:t xml:space="preserve"> </w:t>
      </w:r>
      <w:r w:rsidR="00765900" w:rsidRPr="006B373A">
        <w:rPr>
          <w:b/>
          <w:sz w:val="20"/>
          <w:szCs w:val="20"/>
        </w:rPr>
        <w:t xml:space="preserve">neatbilstoši veikto izdevumu summu nav iespējams konkrēti noteikt vai būtu nesamērīgi samazināt projekta attiecināmo </w:t>
      </w:r>
      <w:r w:rsidR="001D6BC3" w:rsidRPr="006B373A">
        <w:rPr>
          <w:b/>
          <w:sz w:val="20"/>
          <w:szCs w:val="20"/>
        </w:rPr>
        <w:t xml:space="preserve">izdevumu </w:t>
      </w:r>
      <w:r w:rsidR="00765900" w:rsidRPr="006B373A">
        <w:rPr>
          <w:b/>
          <w:sz w:val="20"/>
          <w:szCs w:val="20"/>
        </w:rPr>
        <w:t>summu par visu izdevumu summu, kas neatbilst normatīvo aktu un civiltiesiskā līguma vai vienošanās par projekta īstenošanu nosacījumiem.</w:t>
      </w:r>
    </w:p>
    <w:p w14:paraId="42222314" w14:textId="559D0C31" w:rsidR="009D07C7" w:rsidRPr="005A3128" w:rsidRDefault="00CD5912" w:rsidP="005A3128">
      <w:pPr>
        <w:numPr>
          <w:ilvl w:val="0"/>
          <w:numId w:val="12"/>
        </w:numPr>
        <w:spacing w:before="120"/>
        <w:jc w:val="both"/>
        <w:rPr>
          <w:b/>
          <w:sz w:val="20"/>
          <w:szCs w:val="20"/>
        </w:rPr>
      </w:pPr>
      <w:r w:rsidRPr="005A3128">
        <w:rPr>
          <w:b/>
          <w:sz w:val="20"/>
          <w:szCs w:val="20"/>
        </w:rPr>
        <w:t>Šajā pielikumā aprakstīti visbiežāk konstatētie pārkāpumu veidi</w:t>
      </w:r>
      <w:r w:rsidR="004229A2">
        <w:rPr>
          <w:rStyle w:val="FootnoteReference"/>
          <w:b/>
          <w:sz w:val="20"/>
          <w:szCs w:val="20"/>
        </w:rPr>
        <w:footnoteReference w:id="1"/>
      </w:r>
      <w:r w:rsidRPr="005A3128">
        <w:rPr>
          <w:b/>
          <w:sz w:val="20"/>
          <w:szCs w:val="20"/>
        </w:rPr>
        <w:t xml:space="preserve">. </w:t>
      </w:r>
      <w:r w:rsidRPr="005A3128">
        <w:rPr>
          <w:sz w:val="20"/>
          <w:szCs w:val="20"/>
        </w:rPr>
        <w:t xml:space="preserve">Citi pārkāpumi, kas nav norādīti, būtu jāaplūko atbilstīgi proporcionalitātes principam un, ja iespējams, analoģiski šajā pielikumā apzinātajiem pārkāpumu veidiem, principiem </w:t>
      </w:r>
      <w:r w:rsidR="004E3590" w:rsidRPr="005A3128">
        <w:rPr>
          <w:sz w:val="20"/>
          <w:szCs w:val="20"/>
        </w:rPr>
        <w:t xml:space="preserve">(jo īpaši caurskatāmībai, vienlīdzīgai attieksmei un tiesiskumam) </w:t>
      </w:r>
      <w:r w:rsidRPr="005A3128">
        <w:rPr>
          <w:sz w:val="20"/>
          <w:szCs w:val="20"/>
        </w:rPr>
        <w:t>un kritērijiem, piemērojot aptuvenās finanšu korekciju skalas</w:t>
      </w:r>
      <w:r w:rsidR="00C66F00" w:rsidRPr="005A3128">
        <w:rPr>
          <w:sz w:val="20"/>
          <w:szCs w:val="20"/>
        </w:rPr>
        <w:t>.</w:t>
      </w:r>
    </w:p>
    <w:p w14:paraId="32A88205" w14:textId="77777777" w:rsidR="001527A7" w:rsidRDefault="001527A7" w:rsidP="001527A7">
      <w:pPr>
        <w:ind w:left="720"/>
        <w:jc w:val="both"/>
        <w:rPr>
          <w:b/>
          <w:sz w:val="20"/>
          <w:szCs w:val="20"/>
        </w:rPr>
      </w:pPr>
    </w:p>
    <w:p w14:paraId="0590C5CC" w14:textId="215E1074" w:rsidR="001527A7" w:rsidRDefault="00CD5912" w:rsidP="002C4871">
      <w:pPr>
        <w:numPr>
          <w:ilvl w:val="0"/>
          <w:numId w:val="12"/>
        </w:numPr>
        <w:jc w:val="both"/>
        <w:rPr>
          <w:b/>
          <w:sz w:val="20"/>
          <w:szCs w:val="20"/>
        </w:rPr>
      </w:pPr>
      <w:r>
        <w:rPr>
          <w:b/>
          <w:sz w:val="20"/>
          <w:szCs w:val="20"/>
        </w:rPr>
        <w:t xml:space="preserve">Šo pielikumu </w:t>
      </w:r>
      <w:r w:rsidRPr="0050128D">
        <w:rPr>
          <w:b/>
          <w:sz w:val="20"/>
          <w:szCs w:val="20"/>
        </w:rPr>
        <w:t xml:space="preserve">piemēro </w:t>
      </w:r>
      <w:r w:rsidRPr="00240917">
        <w:rPr>
          <w:b/>
          <w:sz w:val="20"/>
          <w:szCs w:val="20"/>
        </w:rPr>
        <w:t>arī iepirkumiem, kas ir zem Direktīvu, kas regulē publiskos iepirkumus, sliekšņiem.</w:t>
      </w:r>
      <w:r w:rsidR="001527A7" w:rsidRPr="00240917">
        <w:rPr>
          <w:b/>
          <w:sz w:val="20"/>
          <w:szCs w:val="20"/>
        </w:rPr>
        <w:t xml:space="preserve"> </w:t>
      </w:r>
    </w:p>
    <w:p w14:paraId="0EFE64B1" w14:textId="77777777" w:rsidR="005A3128" w:rsidRDefault="005A3128" w:rsidP="005A3128">
      <w:pPr>
        <w:pStyle w:val="ListParagraph"/>
        <w:rPr>
          <w:b/>
          <w:sz w:val="20"/>
          <w:szCs w:val="20"/>
        </w:rPr>
      </w:pPr>
    </w:p>
    <w:p w14:paraId="22433E02" w14:textId="168C9356" w:rsidR="00CD5912" w:rsidRPr="005A3128" w:rsidRDefault="001527A7" w:rsidP="005A3128">
      <w:pPr>
        <w:numPr>
          <w:ilvl w:val="0"/>
          <w:numId w:val="12"/>
        </w:numPr>
        <w:jc w:val="both"/>
        <w:rPr>
          <w:b/>
          <w:sz w:val="20"/>
          <w:szCs w:val="20"/>
        </w:rPr>
      </w:pPr>
      <w:r w:rsidRPr="005A3128">
        <w:rPr>
          <w:sz w:val="20"/>
          <w:szCs w:val="20"/>
        </w:rPr>
        <w:t xml:space="preserve">Ja iepirkuma pārkāpums konstatēts iepirkumā, kas noslēgts pamatojoties uz iepirkuma procesu, kas izriet no </w:t>
      </w:r>
      <w:r w:rsidRPr="005A3128">
        <w:rPr>
          <w:color w:val="000000" w:themeColor="text1"/>
          <w:sz w:val="20"/>
          <w:szCs w:val="20"/>
        </w:rPr>
        <w:t xml:space="preserve">Ministru kabineta </w:t>
      </w:r>
      <w:r w:rsidR="00915E34" w:rsidRPr="005A3128">
        <w:rPr>
          <w:color w:val="000000" w:themeColor="text1"/>
          <w:sz w:val="20"/>
          <w:szCs w:val="20"/>
        </w:rPr>
        <w:t>2017.gada 28.februāra  noteikumiem Nr.104 “Noteikumi par iepirkuma procedūru un tās piemērošanas kārtību pasūtītāja finansētiem projektiem”</w:t>
      </w:r>
      <w:r w:rsidRPr="005A3128">
        <w:rPr>
          <w:color w:val="000000" w:themeColor="text1"/>
          <w:sz w:val="20"/>
          <w:szCs w:val="20"/>
        </w:rPr>
        <w:t>, lai noteiktu finanšu korekcijas apjomu, izmanto pārkāpumu vērtēšanas principus, kas izriet no š</w:t>
      </w:r>
      <w:r w:rsidR="00B728B3" w:rsidRPr="005A3128">
        <w:rPr>
          <w:color w:val="000000" w:themeColor="text1"/>
          <w:sz w:val="20"/>
          <w:szCs w:val="20"/>
        </w:rPr>
        <w:t>ī</w:t>
      </w:r>
      <w:r w:rsidRPr="005A3128">
        <w:rPr>
          <w:color w:val="000000" w:themeColor="text1"/>
          <w:sz w:val="20"/>
          <w:szCs w:val="20"/>
        </w:rPr>
        <w:t xml:space="preserve"> pielikuma </w:t>
      </w:r>
      <w:r w:rsidR="00600A4D" w:rsidRPr="005A3128">
        <w:rPr>
          <w:color w:val="000000" w:themeColor="text1"/>
          <w:sz w:val="20"/>
          <w:szCs w:val="20"/>
        </w:rPr>
        <w:t>8</w:t>
      </w:r>
      <w:r w:rsidRPr="005A3128">
        <w:rPr>
          <w:color w:val="000000" w:themeColor="text1"/>
          <w:sz w:val="20"/>
          <w:szCs w:val="20"/>
        </w:rPr>
        <w:t>.-3</w:t>
      </w:r>
      <w:r w:rsidR="00600A4D" w:rsidRPr="005A3128">
        <w:rPr>
          <w:color w:val="000000" w:themeColor="text1"/>
          <w:sz w:val="20"/>
          <w:szCs w:val="20"/>
        </w:rPr>
        <w:t>2</w:t>
      </w:r>
      <w:r w:rsidRPr="005A3128">
        <w:rPr>
          <w:color w:val="000000" w:themeColor="text1"/>
          <w:sz w:val="20"/>
          <w:szCs w:val="20"/>
        </w:rPr>
        <w:t xml:space="preserve">.punktiem, taču piemēro </w:t>
      </w:r>
      <w:r w:rsidR="00600A4D" w:rsidRPr="005A3128">
        <w:rPr>
          <w:color w:val="000000" w:themeColor="text1"/>
          <w:sz w:val="20"/>
          <w:szCs w:val="20"/>
        </w:rPr>
        <w:t>34</w:t>
      </w:r>
      <w:r w:rsidRPr="005A3128">
        <w:rPr>
          <w:color w:val="000000" w:themeColor="text1"/>
          <w:sz w:val="20"/>
          <w:szCs w:val="20"/>
        </w:rPr>
        <w:t>.-4</w:t>
      </w:r>
      <w:r w:rsidR="00600A4D" w:rsidRPr="005A3128">
        <w:rPr>
          <w:color w:val="000000" w:themeColor="text1"/>
          <w:sz w:val="20"/>
          <w:szCs w:val="20"/>
        </w:rPr>
        <w:t>0</w:t>
      </w:r>
      <w:r w:rsidRPr="005A3128">
        <w:rPr>
          <w:color w:val="000000" w:themeColor="text1"/>
          <w:sz w:val="20"/>
          <w:szCs w:val="20"/>
        </w:rPr>
        <w:t xml:space="preserve">.punktā noteiktās finanšu korekcijas likmes. </w:t>
      </w:r>
    </w:p>
    <w:p w14:paraId="08AEA860" w14:textId="77777777" w:rsidR="001527A7" w:rsidRPr="00600A4D" w:rsidRDefault="001527A7" w:rsidP="00CD5912">
      <w:pPr>
        <w:ind w:left="720"/>
        <w:jc w:val="both"/>
        <w:rPr>
          <w:sz w:val="20"/>
          <w:szCs w:val="20"/>
        </w:rPr>
      </w:pPr>
      <w:r w:rsidRPr="00240917">
        <w:rPr>
          <w:color w:val="000000" w:themeColor="text1"/>
          <w:sz w:val="20"/>
          <w:szCs w:val="20"/>
        </w:rPr>
        <w:t xml:space="preserve">Savukārt, ja konstatētā iepirkuma pārkāpuma būtība nav saistīta ar </w:t>
      </w:r>
      <w:r w:rsidRPr="00600A4D">
        <w:rPr>
          <w:color w:val="000000" w:themeColor="text1"/>
          <w:sz w:val="20"/>
          <w:szCs w:val="20"/>
        </w:rPr>
        <w:t>š</w:t>
      </w:r>
      <w:r w:rsidR="00B728B3" w:rsidRPr="00600A4D">
        <w:rPr>
          <w:color w:val="000000" w:themeColor="text1"/>
          <w:sz w:val="20"/>
          <w:szCs w:val="20"/>
        </w:rPr>
        <w:t>ī</w:t>
      </w:r>
      <w:r w:rsidRPr="00600A4D">
        <w:rPr>
          <w:color w:val="000000" w:themeColor="text1"/>
          <w:sz w:val="20"/>
          <w:szCs w:val="20"/>
        </w:rPr>
        <w:t xml:space="preserve"> pielikuma </w:t>
      </w:r>
      <w:r w:rsidR="00600A4D">
        <w:rPr>
          <w:color w:val="000000" w:themeColor="text1"/>
          <w:sz w:val="20"/>
          <w:szCs w:val="20"/>
        </w:rPr>
        <w:t>8</w:t>
      </w:r>
      <w:r w:rsidRPr="00600A4D">
        <w:rPr>
          <w:color w:val="000000" w:themeColor="text1"/>
          <w:sz w:val="20"/>
          <w:szCs w:val="20"/>
        </w:rPr>
        <w:t>.-</w:t>
      </w:r>
      <w:r w:rsidR="00600A4D">
        <w:rPr>
          <w:color w:val="000000" w:themeColor="text1"/>
          <w:sz w:val="20"/>
          <w:szCs w:val="20"/>
        </w:rPr>
        <w:t>32</w:t>
      </w:r>
      <w:r w:rsidRPr="00600A4D">
        <w:rPr>
          <w:color w:val="000000" w:themeColor="text1"/>
          <w:sz w:val="20"/>
          <w:szCs w:val="20"/>
        </w:rPr>
        <w:t>.punktā apra</w:t>
      </w:r>
      <w:r w:rsidRPr="00600A4D">
        <w:rPr>
          <w:sz w:val="20"/>
          <w:szCs w:val="20"/>
        </w:rPr>
        <w:t>kstīto, tad</w:t>
      </w:r>
      <w:r w:rsidR="00AA289C" w:rsidRPr="00600A4D">
        <w:rPr>
          <w:sz w:val="20"/>
          <w:szCs w:val="20"/>
        </w:rPr>
        <w:t>,</w:t>
      </w:r>
      <w:r w:rsidRPr="00600A4D">
        <w:rPr>
          <w:sz w:val="20"/>
          <w:szCs w:val="20"/>
        </w:rPr>
        <w:t xml:space="preserve"> lemjot par piemērojamo finanšu korekciju</w:t>
      </w:r>
      <w:r w:rsidR="00AA289C" w:rsidRPr="00600A4D">
        <w:rPr>
          <w:sz w:val="20"/>
          <w:szCs w:val="20"/>
        </w:rPr>
        <w:t>,</w:t>
      </w:r>
      <w:r w:rsidRPr="00600A4D">
        <w:rPr>
          <w:sz w:val="20"/>
          <w:szCs w:val="20"/>
        </w:rPr>
        <w:t xml:space="preserve"> ņem vērā </w:t>
      </w:r>
      <w:r w:rsidR="00600A4D">
        <w:rPr>
          <w:sz w:val="20"/>
          <w:szCs w:val="20"/>
        </w:rPr>
        <w:t>34.-40</w:t>
      </w:r>
      <w:r w:rsidRPr="00600A4D">
        <w:rPr>
          <w:sz w:val="20"/>
          <w:szCs w:val="20"/>
        </w:rPr>
        <w:t>.punktā noteiktās finanšu korekciju likmes.</w:t>
      </w:r>
    </w:p>
    <w:p w14:paraId="2F7E0F97" w14:textId="77777777" w:rsidR="00E569DC" w:rsidRPr="002679E5" w:rsidRDefault="00E569DC" w:rsidP="002C4871">
      <w:pPr>
        <w:numPr>
          <w:ilvl w:val="0"/>
          <w:numId w:val="12"/>
        </w:numPr>
        <w:spacing w:before="120"/>
        <w:jc w:val="both"/>
        <w:rPr>
          <w:b/>
          <w:sz w:val="20"/>
          <w:szCs w:val="20"/>
        </w:rPr>
      </w:pPr>
      <w:r w:rsidRPr="00600A4D">
        <w:rPr>
          <w:b/>
          <w:sz w:val="20"/>
          <w:szCs w:val="20"/>
        </w:rPr>
        <w:t>Konstatējot vairākus pārkāpumus vienā iepirkumā, tiek piemērota finanšu</w:t>
      </w:r>
      <w:r w:rsidRPr="004A2D98">
        <w:rPr>
          <w:b/>
          <w:sz w:val="20"/>
          <w:szCs w:val="20"/>
        </w:rPr>
        <w:t xml:space="preserve"> korekcija atbilstoši</w:t>
      </w:r>
      <w:r w:rsidRPr="002679E5">
        <w:rPr>
          <w:b/>
          <w:sz w:val="20"/>
          <w:szCs w:val="20"/>
        </w:rPr>
        <w:t xml:space="preserve"> būtiskākajam </w:t>
      </w:r>
      <w:r w:rsidR="00CD5912" w:rsidRPr="002679E5">
        <w:rPr>
          <w:b/>
          <w:sz w:val="20"/>
          <w:szCs w:val="20"/>
        </w:rPr>
        <w:t xml:space="preserve">pārkāpumam </w:t>
      </w:r>
      <w:r w:rsidRPr="002679E5">
        <w:rPr>
          <w:b/>
          <w:sz w:val="20"/>
          <w:szCs w:val="20"/>
        </w:rPr>
        <w:t>(</w:t>
      </w:r>
      <w:r w:rsidR="00CD5912">
        <w:rPr>
          <w:b/>
          <w:sz w:val="20"/>
          <w:szCs w:val="20"/>
        </w:rPr>
        <w:t xml:space="preserve">t.i. </w:t>
      </w:r>
      <w:r w:rsidRPr="002679E5">
        <w:rPr>
          <w:b/>
          <w:sz w:val="20"/>
          <w:szCs w:val="20"/>
        </w:rPr>
        <w:t>ar augstāko korekcijas apmēru).</w:t>
      </w:r>
    </w:p>
    <w:p w14:paraId="1228EDD9" w14:textId="55DA9F1B" w:rsidR="009D07C7" w:rsidRPr="00760082" w:rsidRDefault="001413FE" w:rsidP="002C4871">
      <w:pPr>
        <w:numPr>
          <w:ilvl w:val="0"/>
          <w:numId w:val="12"/>
        </w:numPr>
        <w:spacing w:before="120"/>
        <w:jc w:val="both"/>
        <w:rPr>
          <w:b/>
          <w:sz w:val="28"/>
          <w:szCs w:val="28"/>
        </w:rPr>
      </w:pPr>
      <w:r w:rsidRPr="002679E5">
        <w:rPr>
          <w:b/>
          <w:sz w:val="20"/>
          <w:szCs w:val="20"/>
        </w:rPr>
        <w:t>Samērīguma princips piemērojams tiktāl</w:t>
      </w:r>
      <w:r w:rsidR="009C4DD4" w:rsidRPr="002679E5">
        <w:rPr>
          <w:b/>
          <w:sz w:val="20"/>
          <w:szCs w:val="20"/>
        </w:rPr>
        <w:t>,</w:t>
      </w:r>
      <w:r w:rsidRPr="002679E5">
        <w:rPr>
          <w:b/>
          <w:sz w:val="20"/>
          <w:szCs w:val="20"/>
        </w:rPr>
        <w:t xml:space="preserve"> cik to pieļauj </w:t>
      </w:r>
      <w:r w:rsidR="009D3A6F" w:rsidRPr="002679E5">
        <w:rPr>
          <w:b/>
          <w:sz w:val="20"/>
          <w:szCs w:val="20"/>
        </w:rPr>
        <w:t>noteikt</w:t>
      </w:r>
      <w:r w:rsidR="009D3A6F">
        <w:rPr>
          <w:b/>
          <w:sz w:val="20"/>
          <w:szCs w:val="20"/>
        </w:rPr>
        <w:t>ie</w:t>
      </w:r>
      <w:r w:rsidR="009D3A6F" w:rsidRPr="002679E5">
        <w:rPr>
          <w:b/>
          <w:sz w:val="20"/>
          <w:szCs w:val="20"/>
        </w:rPr>
        <w:t xml:space="preserve"> </w:t>
      </w:r>
      <w:r w:rsidRPr="002679E5">
        <w:rPr>
          <w:b/>
          <w:sz w:val="20"/>
          <w:szCs w:val="20"/>
        </w:rPr>
        <w:t>minimālie finanšu korekciju apjomi.</w:t>
      </w:r>
      <w:r w:rsidR="00BB69D5" w:rsidRPr="002679E5">
        <w:rPr>
          <w:b/>
          <w:sz w:val="20"/>
          <w:szCs w:val="20"/>
        </w:rPr>
        <w:t xml:space="preserve"> </w:t>
      </w:r>
    </w:p>
    <w:p w14:paraId="7DCE6B69" w14:textId="2FA69E7A" w:rsidR="00240917" w:rsidRPr="00760082" w:rsidRDefault="00022BA1" w:rsidP="00022BA1">
      <w:pPr>
        <w:numPr>
          <w:ilvl w:val="0"/>
          <w:numId w:val="12"/>
        </w:numPr>
        <w:spacing w:before="120"/>
        <w:jc w:val="both"/>
        <w:rPr>
          <w:b/>
          <w:sz w:val="28"/>
          <w:szCs w:val="28"/>
        </w:rPr>
      </w:pPr>
      <w:r w:rsidRPr="00760082">
        <w:rPr>
          <w:b/>
          <w:iCs/>
          <w:sz w:val="20"/>
          <w:szCs w:val="20"/>
        </w:rPr>
        <w:t>Gadījumos, kad pārkāpumi atkārtojas viena finansējuma saņēmēja īstenotajos projektos vai iepirkumos un finansējuma saņēmējs par pārkāpumu iepriekš bijis informēts, vērtējot atkārtotā pārkāpuma būtiskumu, var tikt piemērots augstāks finanšu korekcijas apmērs maksājuma pieprasījumā iekļautajiem izdevumiem, kā arī atkārtota pārkāpuma gadījumā var tikt piemērota finanšu korekcija maksājuma pieprasījumā iekļautajiem izdevumiem arī tad, ja, konstatējot pārkāpumu iepriekš, finanšu korekcija nav tikusi piemērota.</w:t>
      </w:r>
    </w:p>
    <w:p w14:paraId="211E1E4A" w14:textId="77777777" w:rsidR="00760082" w:rsidRPr="00022BA1" w:rsidRDefault="00760082" w:rsidP="00022BA1">
      <w:pPr>
        <w:spacing w:before="120"/>
        <w:ind w:left="720"/>
        <w:jc w:val="both"/>
        <w:rPr>
          <w:b/>
          <w:color w:val="FF0000"/>
          <w:sz w:val="20"/>
          <w:szCs w:val="20"/>
        </w:rPr>
      </w:pPr>
    </w:p>
    <w:p w14:paraId="562A2D27" w14:textId="77777777" w:rsidR="00760082" w:rsidRDefault="0076008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5026"/>
        <w:gridCol w:w="6063"/>
        <w:gridCol w:w="12"/>
        <w:gridCol w:w="2656"/>
      </w:tblGrid>
      <w:tr w:rsidR="00810144" w:rsidRPr="009D07C7" w14:paraId="54803BE8" w14:textId="77777777" w:rsidTr="00EF0422">
        <w:trPr>
          <w:tblHeader/>
        </w:trPr>
        <w:tc>
          <w:tcPr>
            <w:tcW w:w="276" w:type="pct"/>
            <w:tcBorders>
              <w:bottom w:val="single" w:sz="4" w:space="0" w:color="auto"/>
            </w:tcBorders>
            <w:shd w:val="clear" w:color="auto" w:fill="D6E3BC"/>
            <w:vAlign w:val="center"/>
          </w:tcPr>
          <w:p w14:paraId="37E2A9E8" w14:textId="5D1DAAB1" w:rsidR="00810144" w:rsidRPr="009D07C7" w:rsidRDefault="00810144" w:rsidP="00E65D59">
            <w:pPr>
              <w:jc w:val="center"/>
              <w:rPr>
                <w:b/>
                <w:sz w:val="22"/>
                <w:szCs w:val="22"/>
              </w:rPr>
            </w:pPr>
            <w:r w:rsidRPr="009D07C7">
              <w:rPr>
                <w:b/>
                <w:sz w:val="22"/>
                <w:szCs w:val="22"/>
              </w:rPr>
              <w:lastRenderedPageBreak/>
              <w:t>Nr.</w:t>
            </w:r>
          </w:p>
        </w:tc>
        <w:tc>
          <w:tcPr>
            <w:tcW w:w="1726" w:type="pct"/>
            <w:tcBorders>
              <w:bottom w:val="single" w:sz="4" w:space="0" w:color="auto"/>
            </w:tcBorders>
            <w:shd w:val="clear" w:color="auto" w:fill="D6E3BC"/>
            <w:vAlign w:val="center"/>
          </w:tcPr>
          <w:p w14:paraId="0D9D006D" w14:textId="77777777" w:rsidR="00810144" w:rsidRPr="009D07C7" w:rsidRDefault="00F56372" w:rsidP="00E65D59">
            <w:pPr>
              <w:jc w:val="center"/>
              <w:rPr>
                <w:b/>
                <w:sz w:val="22"/>
                <w:szCs w:val="22"/>
              </w:rPr>
            </w:pPr>
            <w:r>
              <w:rPr>
                <w:b/>
                <w:sz w:val="22"/>
                <w:szCs w:val="22"/>
              </w:rPr>
              <w:t>Neatbilstība</w:t>
            </w:r>
            <w:r w:rsidR="00F928D4">
              <w:rPr>
                <w:b/>
                <w:sz w:val="22"/>
                <w:szCs w:val="22"/>
              </w:rPr>
              <w:t xml:space="preserve"> </w:t>
            </w:r>
            <w:r>
              <w:rPr>
                <w:b/>
                <w:sz w:val="22"/>
                <w:szCs w:val="22"/>
              </w:rPr>
              <w:t>/ Pārkāpums</w:t>
            </w:r>
          </w:p>
        </w:tc>
        <w:tc>
          <w:tcPr>
            <w:tcW w:w="2082" w:type="pct"/>
            <w:tcBorders>
              <w:bottom w:val="single" w:sz="4" w:space="0" w:color="auto"/>
            </w:tcBorders>
            <w:shd w:val="clear" w:color="auto" w:fill="D6E3BC"/>
            <w:vAlign w:val="center"/>
          </w:tcPr>
          <w:p w14:paraId="5B261297" w14:textId="77777777" w:rsidR="00810144" w:rsidRPr="009D07C7" w:rsidRDefault="00D4646B" w:rsidP="00E65D59">
            <w:pPr>
              <w:jc w:val="center"/>
              <w:rPr>
                <w:b/>
                <w:sz w:val="22"/>
                <w:szCs w:val="22"/>
              </w:rPr>
            </w:pPr>
            <w:r>
              <w:rPr>
                <w:b/>
                <w:sz w:val="22"/>
                <w:szCs w:val="22"/>
              </w:rPr>
              <w:t>Neatbilstības apraksts</w:t>
            </w:r>
          </w:p>
        </w:tc>
        <w:tc>
          <w:tcPr>
            <w:tcW w:w="916" w:type="pct"/>
            <w:gridSpan w:val="2"/>
            <w:tcBorders>
              <w:bottom w:val="single" w:sz="4" w:space="0" w:color="auto"/>
            </w:tcBorders>
            <w:shd w:val="clear" w:color="auto" w:fill="D6E3BC"/>
            <w:vAlign w:val="center"/>
          </w:tcPr>
          <w:p w14:paraId="5EA3FF26" w14:textId="77777777" w:rsidR="00810144" w:rsidRPr="009D07C7" w:rsidRDefault="00810144" w:rsidP="00E65D59">
            <w:pPr>
              <w:jc w:val="center"/>
              <w:rPr>
                <w:b/>
                <w:sz w:val="22"/>
                <w:szCs w:val="22"/>
              </w:rPr>
            </w:pPr>
            <w:r w:rsidRPr="009D07C7">
              <w:rPr>
                <w:b/>
                <w:sz w:val="22"/>
                <w:szCs w:val="22"/>
              </w:rPr>
              <w:t>Finanšu korekcijas apjoms</w:t>
            </w:r>
          </w:p>
        </w:tc>
      </w:tr>
      <w:tr w:rsidR="00DD563F" w:rsidRPr="009D07C7" w14:paraId="15B33413" w14:textId="77777777" w:rsidTr="00563EE9">
        <w:tc>
          <w:tcPr>
            <w:tcW w:w="5000" w:type="pct"/>
            <w:gridSpan w:val="5"/>
            <w:shd w:val="clear" w:color="auto" w:fill="C0C0C0"/>
          </w:tcPr>
          <w:p w14:paraId="56870AB9" w14:textId="77777777" w:rsidR="00DD563F" w:rsidRPr="009D07C7" w:rsidRDefault="00DD563F" w:rsidP="00E65D59">
            <w:pPr>
              <w:jc w:val="center"/>
              <w:rPr>
                <w:b/>
                <w:sz w:val="22"/>
                <w:szCs w:val="22"/>
              </w:rPr>
            </w:pPr>
            <w:r w:rsidRPr="009D07C7">
              <w:rPr>
                <w:b/>
                <w:sz w:val="22"/>
                <w:szCs w:val="22"/>
              </w:rPr>
              <w:t>Projekta līmenis</w:t>
            </w:r>
          </w:p>
        </w:tc>
      </w:tr>
      <w:tr w:rsidR="00F934CF" w:rsidRPr="009D07C7" w14:paraId="45826499" w14:textId="77777777" w:rsidTr="009B643B">
        <w:tc>
          <w:tcPr>
            <w:tcW w:w="276" w:type="pct"/>
          </w:tcPr>
          <w:p w14:paraId="16E180B7" w14:textId="77777777" w:rsidR="00F934CF" w:rsidRPr="009D07C7" w:rsidRDefault="00F934CF" w:rsidP="00E65D59">
            <w:pPr>
              <w:numPr>
                <w:ilvl w:val="0"/>
                <w:numId w:val="1"/>
              </w:numPr>
              <w:rPr>
                <w:sz w:val="22"/>
                <w:szCs w:val="22"/>
              </w:rPr>
            </w:pPr>
          </w:p>
        </w:tc>
        <w:tc>
          <w:tcPr>
            <w:tcW w:w="1726" w:type="pct"/>
          </w:tcPr>
          <w:p w14:paraId="6413AEB7" w14:textId="77777777" w:rsidR="00116219" w:rsidRPr="005A3128" w:rsidRDefault="00F934CF" w:rsidP="00CA431E">
            <w:pPr>
              <w:tabs>
                <w:tab w:val="left" w:pos="1276"/>
              </w:tabs>
              <w:spacing w:before="120"/>
              <w:jc w:val="both"/>
              <w:rPr>
                <w:b/>
                <w:iCs/>
                <w:sz w:val="22"/>
                <w:szCs w:val="22"/>
              </w:rPr>
            </w:pPr>
            <w:r w:rsidRPr="005A3128">
              <w:rPr>
                <w:b/>
                <w:iCs/>
                <w:sz w:val="22"/>
                <w:szCs w:val="22"/>
              </w:rPr>
              <w:t>Nespēja pildīt līguma/vienošanās nosacījumus</w:t>
            </w:r>
            <w:r w:rsidR="00CA431E" w:rsidRPr="005A3128">
              <w:rPr>
                <w:b/>
                <w:iCs/>
                <w:sz w:val="22"/>
                <w:szCs w:val="22"/>
              </w:rPr>
              <w:t>,</w:t>
            </w:r>
          </w:p>
          <w:p w14:paraId="62229232" w14:textId="255D6F5F" w:rsidR="00CA431E" w:rsidRPr="005A3128" w:rsidRDefault="00CA431E" w:rsidP="00CA431E">
            <w:pPr>
              <w:tabs>
                <w:tab w:val="left" w:pos="1276"/>
              </w:tabs>
              <w:spacing w:before="120"/>
              <w:jc w:val="both"/>
              <w:rPr>
                <w:b/>
                <w:sz w:val="22"/>
                <w:szCs w:val="22"/>
              </w:rPr>
            </w:pPr>
            <w:r w:rsidRPr="005A3128">
              <w:rPr>
                <w:b/>
                <w:iCs/>
                <w:sz w:val="22"/>
                <w:szCs w:val="22"/>
              </w:rPr>
              <w:t>tostarp p</w:t>
            </w:r>
            <w:r w:rsidRPr="005A3128">
              <w:rPr>
                <w:b/>
                <w:sz w:val="22"/>
                <w:szCs w:val="22"/>
              </w:rPr>
              <w:t xml:space="preserve">rojekta mērķa vai </w:t>
            </w:r>
            <w:r w:rsidR="00BA60DB" w:rsidRPr="005A3128">
              <w:rPr>
                <w:b/>
                <w:sz w:val="22"/>
                <w:szCs w:val="22"/>
              </w:rPr>
              <w:t xml:space="preserve">iznākuma </w:t>
            </w:r>
            <w:r w:rsidRPr="005A3128">
              <w:rPr>
                <w:b/>
                <w:sz w:val="22"/>
                <w:szCs w:val="22"/>
              </w:rPr>
              <w:t>rādītāju (atbilstoši normatīvajos aktos par attiecīgā SAM īstenošanu norādītajiem) nesasniegšana</w:t>
            </w:r>
            <w:r w:rsidR="00D46D2B" w:rsidRPr="005A3128">
              <w:rPr>
                <w:b/>
                <w:sz w:val="22"/>
                <w:szCs w:val="22"/>
              </w:rPr>
              <w:t>.</w:t>
            </w:r>
            <w:r w:rsidRPr="005A3128">
              <w:rPr>
                <w:b/>
                <w:sz w:val="22"/>
                <w:szCs w:val="22"/>
              </w:rPr>
              <w:t xml:space="preserve"> </w:t>
            </w:r>
          </w:p>
          <w:p w14:paraId="70DBE9AC" w14:textId="77777777" w:rsidR="00E97178" w:rsidRPr="005A3128" w:rsidRDefault="00E97178" w:rsidP="00CA431E">
            <w:pPr>
              <w:tabs>
                <w:tab w:val="left" w:pos="1276"/>
              </w:tabs>
              <w:spacing w:before="120"/>
              <w:jc w:val="both"/>
              <w:rPr>
                <w:b/>
                <w:sz w:val="22"/>
                <w:szCs w:val="22"/>
              </w:rPr>
            </w:pPr>
          </w:p>
          <w:p w14:paraId="7C2F7B54" w14:textId="5240861B" w:rsidR="00F934CF" w:rsidRPr="005A3128" w:rsidRDefault="00CA431E" w:rsidP="009421D9">
            <w:pPr>
              <w:tabs>
                <w:tab w:val="left" w:pos="1276"/>
              </w:tabs>
              <w:jc w:val="both"/>
              <w:rPr>
                <w:sz w:val="22"/>
                <w:szCs w:val="22"/>
              </w:rPr>
            </w:pPr>
            <w:r w:rsidRPr="005A3128">
              <w:rPr>
                <w:sz w:val="22"/>
                <w:szCs w:val="22"/>
              </w:rPr>
              <w:t xml:space="preserve"> </w:t>
            </w:r>
          </w:p>
        </w:tc>
        <w:tc>
          <w:tcPr>
            <w:tcW w:w="2086" w:type="pct"/>
            <w:gridSpan w:val="2"/>
          </w:tcPr>
          <w:p w14:paraId="449B3469" w14:textId="77777777" w:rsidR="00116219" w:rsidRDefault="00CA431E" w:rsidP="00F934CF">
            <w:pPr>
              <w:tabs>
                <w:tab w:val="left" w:pos="1276"/>
              </w:tabs>
              <w:spacing w:before="120"/>
              <w:jc w:val="both"/>
              <w:rPr>
                <w:sz w:val="22"/>
                <w:szCs w:val="22"/>
              </w:rPr>
            </w:pPr>
            <w:r w:rsidRPr="00F934CF">
              <w:rPr>
                <w:sz w:val="22"/>
                <w:szCs w:val="22"/>
              </w:rPr>
              <w:t>Lemjot par finanšu korekcijas nepiemērošanu, katrs gadījums ir jāvērtē atsevišķi, nosakot vai konkrētie situācijas apstākļi ir tikai grūtības, kad saistību izpilde ir iespējama, bet ir apgrūtināta</w:t>
            </w:r>
            <w:r w:rsidR="00116219">
              <w:rPr>
                <w:sz w:val="22"/>
                <w:szCs w:val="22"/>
              </w:rPr>
              <w:t>.</w:t>
            </w:r>
          </w:p>
          <w:p w14:paraId="11367365" w14:textId="77777777" w:rsidR="00116219" w:rsidRDefault="00116219" w:rsidP="00F934CF">
            <w:pPr>
              <w:tabs>
                <w:tab w:val="left" w:pos="1276"/>
              </w:tabs>
              <w:spacing w:before="120"/>
              <w:jc w:val="both"/>
              <w:rPr>
                <w:sz w:val="22"/>
                <w:szCs w:val="22"/>
              </w:rPr>
            </w:pPr>
          </w:p>
          <w:p w14:paraId="66084FC7" w14:textId="77777777" w:rsidR="005A3128" w:rsidRDefault="005A3128" w:rsidP="00912E82">
            <w:pPr>
              <w:tabs>
                <w:tab w:val="left" w:pos="1276"/>
              </w:tabs>
              <w:spacing w:before="120"/>
              <w:jc w:val="both"/>
              <w:rPr>
                <w:b/>
                <w:sz w:val="22"/>
                <w:szCs w:val="22"/>
              </w:rPr>
            </w:pPr>
          </w:p>
          <w:p w14:paraId="595D00E6" w14:textId="7360DCEC" w:rsidR="00912E82" w:rsidRPr="00F934CF" w:rsidRDefault="00912E82" w:rsidP="00912E82">
            <w:pPr>
              <w:tabs>
                <w:tab w:val="left" w:pos="1276"/>
              </w:tabs>
              <w:spacing w:before="120"/>
              <w:jc w:val="both"/>
              <w:rPr>
                <w:b/>
                <w:sz w:val="22"/>
                <w:szCs w:val="22"/>
              </w:rPr>
            </w:pPr>
            <w:r>
              <w:rPr>
                <w:b/>
                <w:sz w:val="22"/>
                <w:szCs w:val="22"/>
              </w:rPr>
              <w:t>I</w:t>
            </w:r>
            <w:r w:rsidRPr="00F934CF">
              <w:rPr>
                <w:b/>
                <w:sz w:val="22"/>
                <w:szCs w:val="22"/>
              </w:rPr>
              <w:t xml:space="preserve">zņēmuma situācijas, kad par projekta mērķa vai </w:t>
            </w:r>
            <w:r w:rsidR="00223463">
              <w:rPr>
                <w:b/>
                <w:sz w:val="22"/>
                <w:szCs w:val="22"/>
              </w:rPr>
              <w:t>izn</w:t>
            </w:r>
            <w:r w:rsidR="00D77B98">
              <w:rPr>
                <w:b/>
                <w:sz w:val="22"/>
                <w:szCs w:val="22"/>
              </w:rPr>
              <w:t>āk</w:t>
            </w:r>
            <w:r w:rsidR="00223463">
              <w:rPr>
                <w:b/>
                <w:sz w:val="22"/>
                <w:szCs w:val="22"/>
              </w:rPr>
              <w:t xml:space="preserve">uma </w:t>
            </w:r>
            <w:r w:rsidRPr="00F934CF">
              <w:rPr>
                <w:b/>
                <w:sz w:val="22"/>
                <w:szCs w:val="22"/>
              </w:rPr>
              <w:t>rādītāju nesasniegšanu finanšu korekciju nepiemēro:</w:t>
            </w:r>
          </w:p>
          <w:p w14:paraId="72BB4FA3" w14:textId="77777777" w:rsidR="00912E82" w:rsidRDefault="00912E82" w:rsidP="00912E82">
            <w:pPr>
              <w:tabs>
                <w:tab w:val="left" w:pos="1276"/>
              </w:tabs>
              <w:spacing w:before="120"/>
              <w:jc w:val="both"/>
              <w:rPr>
                <w:sz w:val="22"/>
                <w:szCs w:val="22"/>
              </w:rPr>
            </w:pPr>
            <w:r w:rsidRPr="00F934CF">
              <w:rPr>
                <w:sz w:val="22"/>
                <w:szCs w:val="22"/>
              </w:rPr>
              <w:t>Ja pamatā ir sociāli ekonomisko</w:t>
            </w:r>
            <w:r w:rsidRPr="00F934CF">
              <w:rPr>
                <w:sz w:val="22"/>
                <w:szCs w:val="22"/>
                <w:vertAlign w:val="superscript"/>
              </w:rPr>
              <w:footnoteReference w:id="2"/>
            </w:r>
            <w:r w:rsidRPr="00F934CF">
              <w:rPr>
                <w:sz w:val="22"/>
                <w:szCs w:val="22"/>
              </w:rPr>
              <w:t xml:space="preserve"> vai vides faktoru ietekme, būtiskas izmaiņas valsts ekonomikas vai vides apstākļos vai nepārvaramas varas un ārkārtēja rakstura apstākļi (</w:t>
            </w:r>
            <w:r w:rsidRPr="00F934CF">
              <w:rPr>
                <w:i/>
                <w:sz w:val="22"/>
                <w:szCs w:val="22"/>
              </w:rPr>
              <w:t>force majeure</w:t>
            </w:r>
            <w:r w:rsidRPr="00F934CF">
              <w:rPr>
                <w:sz w:val="22"/>
                <w:szCs w:val="22"/>
                <w:vertAlign w:val="superscript"/>
              </w:rPr>
              <w:footnoteReference w:id="3"/>
            </w:r>
            <w:r w:rsidRPr="00F934CF">
              <w:rPr>
                <w:sz w:val="22"/>
                <w:szCs w:val="22"/>
              </w:rPr>
              <w:t>), kas nopietni ietekmē attiecīgo prioritāšu un darbības (projekta)</w:t>
            </w:r>
            <w:r>
              <w:rPr>
                <w:sz w:val="22"/>
                <w:szCs w:val="22"/>
              </w:rPr>
              <w:t xml:space="preserve"> </w:t>
            </w:r>
            <w:r w:rsidRPr="00F934CF">
              <w:rPr>
                <w:sz w:val="22"/>
                <w:szCs w:val="22"/>
              </w:rPr>
              <w:t xml:space="preserve">īstenošanu. </w:t>
            </w:r>
          </w:p>
          <w:p w14:paraId="0157F478" w14:textId="77777777" w:rsidR="00CA431E" w:rsidRPr="009421D9" w:rsidDel="002F06F9" w:rsidRDefault="00CA431E" w:rsidP="00912E82">
            <w:pPr>
              <w:jc w:val="both"/>
              <w:rPr>
                <w:i/>
                <w:sz w:val="22"/>
                <w:szCs w:val="22"/>
              </w:rPr>
            </w:pPr>
          </w:p>
        </w:tc>
        <w:tc>
          <w:tcPr>
            <w:tcW w:w="912" w:type="pct"/>
          </w:tcPr>
          <w:p w14:paraId="01A67291" w14:textId="0833C86B" w:rsidR="00646362" w:rsidRPr="00DD3495" w:rsidRDefault="009C1A83" w:rsidP="00646362">
            <w:pPr>
              <w:jc w:val="both"/>
              <w:rPr>
                <w:bCs/>
                <w:sz w:val="22"/>
                <w:szCs w:val="22"/>
              </w:rPr>
            </w:pPr>
            <w:r w:rsidRPr="009D07C7">
              <w:rPr>
                <w:sz w:val="22"/>
                <w:szCs w:val="22"/>
              </w:rPr>
              <w:t>100%</w:t>
            </w:r>
            <w:r w:rsidR="00646362">
              <w:rPr>
                <w:sz w:val="22"/>
                <w:szCs w:val="22"/>
              </w:rPr>
              <w:t>,</w:t>
            </w:r>
            <w:r>
              <w:rPr>
                <w:sz w:val="22"/>
                <w:szCs w:val="22"/>
              </w:rPr>
              <w:t xml:space="preserve"> </w:t>
            </w:r>
            <w:r w:rsidR="00646362" w:rsidRPr="00DD3495">
              <w:rPr>
                <w:bCs/>
                <w:sz w:val="22"/>
                <w:szCs w:val="22"/>
              </w:rPr>
              <w:t xml:space="preserve">bet </w:t>
            </w:r>
            <w:r w:rsidR="00646362">
              <w:rPr>
                <w:bCs/>
                <w:sz w:val="22"/>
                <w:szCs w:val="22"/>
              </w:rPr>
              <w:t xml:space="preserve">finanšu korekcijas apjomu </w:t>
            </w:r>
            <w:r w:rsidR="00646362" w:rsidRPr="00DD3495">
              <w:rPr>
                <w:bCs/>
                <w:sz w:val="22"/>
                <w:szCs w:val="22"/>
              </w:rPr>
              <w:t xml:space="preserve">var samazināt uz 25%, 10%, 5%, 2%, atkarībā no </w:t>
            </w:r>
            <w:r w:rsidR="00646362">
              <w:rPr>
                <w:bCs/>
                <w:sz w:val="22"/>
                <w:szCs w:val="22"/>
              </w:rPr>
              <w:t xml:space="preserve">pārkāpuma būtiskuma. </w:t>
            </w:r>
            <w:r w:rsidR="00646362" w:rsidRPr="00DD3495">
              <w:rPr>
                <w:bCs/>
                <w:sz w:val="22"/>
                <w:szCs w:val="22"/>
              </w:rPr>
              <w:t xml:space="preserve"> </w:t>
            </w:r>
          </w:p>
          <w:p w14:paraId="163F8439" w14:textId="77777777" w:rsidR="00646362" w:rsidRDefault="00646362" w:rsidP="00BC5EC1">
            <w:pPr>
              <w:jc w:val="both"/>
              <w:rPr>
                <w:bCs/>
                <w:sz w:val="22"/>
                <w:szCs w:val="22"/>
              </w:rPr>
            </w:pPr>
          </w:p>
          <w:p w14:paraId="55DF0451" w14:textId="77777777" w:rsidR="00D72EBD" w:rsidRDefault="00D72EBD" w:rsidP="00BC5EC1">
            <w:pPr>
              <w:jc w:val="both"/>
              <w:rPr>
                <w:b/>
                <w:bCs/>
                <w:sz w:val="22"/>
                <w:szCs w:val="22"/>
              </w:rPr>
            </w:pPr>
          </w:p>
          <w:p w14:paraId="6C80068A" w14:textId="780D3CA3" w:rsidR="009C1A83" w:rsidRDefault="00D72EBD" w:rsidP="00EA36CC">
            <w:pPr>
              <w:jc w:val="both"/>
              <w:rPr>
                <w:sz w:val="22"/>
                <w:szCs w:val="22"/>
              </w:rPr>
            </w:pPr>
            <w:r>
              <w:rPr>
                <w:b/>
                <w:bCs/>
                <w:sz w:val="22"/>
                <w:szCs w:val="22"/>
              </w:rPr>
              <w:t>Finanšu k</w:t>
            </w:r>
            <w:r w:rsidR="00646362" w:rsidRPr="00E97178">
              <w:rPr>
                <w:b/>
                <w:bCs/>
                <w:sz w:val="22"/>
                <w:szCs w:val="22"/>
              </w:rPr>
              <w:t xml:space="preserve">orekcijas </w:t>
            </w:r>
            <w:r>
              <w:rPr>
                <w:b/>
                <w:bCs/>
                <w:sz w:val="22"/>
                <w:szCs w:val="22"/>
              </w:rPr>
              <w:t xml:space="preserve">apjoma </w:t>
            </w:r>
            <w:r w:rsidR="00646362" w:rsidRPr="00E97178">
              <w:rPr>
                <w:b/>
                <w:bCs/>
                <w:sz w:val="22"/>
                <w:szCs w:val="22"/>
              </w:rPr>
              <w:t xml:space="preserve">noteikšana </w:t>
            </w:r>
            <w:r w:rsidR="000336EE">
              <w:rPr>
                <w:b/>
                <w:bCs/>
                <w:sz w:val="22"/>
                <w:szCs w:val="22"/>
              </w:rPr>
              <w:t xml:space="preserve">iznākuma </w:t>
            </w:r>
            <w:r w:rsidR="009C1A83" w:rsidRPr="00E97178">
              <w:rPr>
                <w:b/>
                <w:sz w:val="22"/>
                <w:szCs w:val="22"/>
              </w:rPr>
              <w:t>radītāj</w:t>
            </w:r>
            <w:r w:rsidR="00646362" w:rsidRPr="00E97178">
              <w:rPr>
                <w:b/>
                <w:sz w:val="22"/>
                <w:szCs w:val="22"/>
              </w:rPr>
              <w:t>u</w:t>
            </w:r>
            <w:r w:rsidR="009C1A83" w:rsidRPr="00E97178">
              <w:rPr>
                <w:b/>
                <w:sz w:val="22"/>
                <w:szCs w:val="22"/>
              </w:rPr>
              <w:t xml:space="preserve"> </w:t>
            </w:r>
            <w:r w:rsidR="00646362" w:rsidRPr="00E97178">
              <w:rPr>
                <w:b/>
                <w:sz w:val="22"/>
                <w:szCs w:val="22"/>
              </w:rPr>
              <w:t xml:space="preserve">daļējas </w:t>
            </w:r>
            <w:r w:rsidR="009C1A83" w:rsidRPr="00E97178">
              <w:rPr>
                <w:b/>
                <w:sz w:val="22"/>
                <w:szCs w:val="22"/>
              </w:rPr>
              <w:t>sasnieg</w:t>
            </w:r>
            <w:r w:rsidR="00646362" w:rsidRPr="00E97178">
              <w:rPr>
                <w:b/>
                <w:sz w:val="22"/>
                <w:szCs w:val="22"/>
              </w:rPr>
              <w:t>šanas gadījumā</w:t>
            </w:r>
            <w:r w:rsidR="003D2D4F">
              <w:rPr>
                <w:rStyle w:val="FootnoteReference"/>
                <w:b/>
                <w:sz w:val="22"/>
                <w:szCs w:val="22"/>
              </w:rPr>
              <w:footnoteReference w:id="4"/>
            </w:r>
          </w:p>
          <w:p w14:paraId="0687D7BB" w14:textId="629C75A3" w:rsidR="008C15CE" w:rsidRPr="00116219" w:rsidRDefault="00E97178" w:rsidP="008C15CE">
            <w:pPr>
              <w:tabs>
                <w:tab w:val="left" w:pos="210"/>
              </w:tabs>
              <w:jc w:val="both"/>
              <w:rPr>
                <w:sz w:val="10"/>
                <w:szCs w:val="10"/>
              </w:rPr>
            </w:pPr>
            <w:r>
              <w:rPr>
                <w:sz w:val="22"/>
              </w:rPr>
              <w:t>J</w:t>
            </w:r>
            <w:r w:rsidRPr="008C15CE">
              <w:rPr>
                <w:sz w:val="22"/>
              </w:rPr>
              <w:t>a sasnieguma koeficients nepārsniedz</w:t>
            </w:r>
            <w:r>
              <w:rPr>
                <w:sz w:val="22"/>
              </w:rPr>
              <w:t>:</w:t>
            </w:r>
          </w:p>
          <w:p w14:paraId="246BD8E8" w14:textId="6FF2FEFA" w:rsidR="008C15CE" w:rsidRDefault="008C15CE" w:rsidP="002C4871">
            <w:pPr>
              <w:pStyle w:val="ListParagraph"/>
              <w:numPr>
                <w:ilvl w:val="0"/>
                <w:numId w:val="15"/>
              </w:numPr>
              <w:tabs>
                <w:tab w:val="left" w:pos="62"/>
                <w:tab w:val="left" w:pos="210"/>
              </w:tabs>
              <w:ind w:left="170" w:hanging="170"/>
              <w:jc w:val="both"/>
              <w:rPr>
                <w:sz w:val="22"/>
              </w:rPr>
            </w:pPr>
            <w:r w:rsidRPr="008C15CE">
              <w:rPr>
                <w:sz w:val="22"/>
              </w:rPr>
              <w:t>65%, bet nav mazāks par 60%, piemēro vienoto likmi 5% apmērā;</w:t>
            </w:r>
          </w:p>
          <w:p w14:paraId="586D0A0E" w14:textId="7E42C76B" w:rsidR="008C15CE" w:rsidRDefault="008C15CE" w:rsidP="002C4871">
            <w:pPr>
              <w:pStyle w:val="ListParagraph"/>
              <w:numPr>
                <w:ilvl w:val="0"/>
                <w:numId w:val="15"/>
              </w:numPr>
              <w:tabs>
                <w:tab w:val="left" w:pos="62"/>
                <w:tab w:val="left" w:pos="210"/>
              </w:tabs>
              <w:ind w:left="170" w:hanging="170"/>
              <w:jc w:val="both"/>
              <w:rPr>
                <w:sz w:val="22"/>
              </w:rPr>
            </w:pPr>
            <w:r w:rsidRPr="008C15CE">
              <w:rPr>
                <w:sz w:val="22"/>
              </w:rPr>
              <w:t>60%, bet nav mazāks par 50%, piemēro vienoto likmi 10% apmērā;</w:t>
            </w:r>
          </w:p>
          <w:p w14:paraId="325BAAF9" w14:textId="3294D40F" w:rsidR="00D72EBD" w:rsidRDefault="008C15CE" w:rsidP="002C4871">
            <w:pPr>
              <w:pStyle w:val="ListParagraph"/>
              <w:numPr>
                <w:ilvl w:val="0"/>
                <w:numId w:val="15"/>
              </w:numPr>
              <w:tabs>
                <w:tab w:val="left" w:pos="62"/>
                <w:tab w:val="left" w:pos="210"/>
              </w:tabs>
              <w:ind w:left="170" w:hanging="170"/>
              <w:jc w:val="both"/>
              <w:rPr>
                <w:sz w:val="22"/>
              </w:rPr>
            </w:pPr>
            <w:r w:rsidRPr="008C15CE">
              <w:rPr>
                <w:sz w:val="22"/>
              </w:rPr>
              <w:lastRenderedPageBreak/>
              <w:t>50%, piemēro vienoto likmi 25% apmērā.</w:t>
            </w:r>
          </w:p>
          <w:p w14:paraId="10D21310" w14:textId="77777777" w:rsidR="00D72EBD" w:rsidRDefault="00D72EBD" w:rsidP="00912E82">
            <w:pPr>
              <w:pStyle w:val="ListParagraph"/>
              <w:tabs>
                <w:tab w:val="left" w:pos="62"/>
                <w:tab w:val="left" w:pos="210"/>
              </w:tabs>
              <w:ind w:left="170"/>
              <w:jc w:val="both"/>
              <w:rPr>
                <w:sz w:val="22"/>
              </w:rPr>
            </w:pPr>
          </w:p>
          <w:p w14:paraId="6625718F" w14:textId="10398F98" w:rsidR="00863779" w:rsidRPr="005A3128" w:rsidRDefault="00863779" w:rsidP="005A3128">
            <w:pPr>
              <w:tabs>
                <w:tab w:val="left" w:pos="62"/>
                <w:tab w:val="left" w:pos="210"/>
              </w:tabs>
              <w:jc w:val="both"/>
              <w:rPr>
                <w:sz w:val="22"/>
              </w:rPr>
            </w:pPr>
            <w:r w:rsidRPr="00863779">
              <w:rPr>
                <w:sz w:val="22"/>
              </w:rPr>
              <w:t xml:space="preserve">Ja ir iespējams skaidri noteikt/nošķirt izdevumus, kas ir saistīti ar </w:t>
            </w:r>
            <w:r w:rsidR="00472036">
              <w:rPr>
                <w:sz w:val="22"/>
              </w:rPr>
              <w:t xml:space="preserve">iznākuma </w:t>
            </w:r>
            <w:r w:rsidRPr="00863779">
              <w:rPr>
                <w:sz w:val="22"/>
              </w:rPr>
              <w:t xml:space="preserve">rādītāja nesasniegšanu, tas ir skaidri jānodokumentē un attiecīgi korekciju var piemērot arī pret šiem izdevumiem, kas saistīti ar konkrēto pārkāpumu, nevis pret kopējām projekta attiecināmajām izmaksām. </w:t>
            </w:r>
          </w:p>
        </w:tc>
      </w:tr>
      <w:tr w:rsidR="007B3A3D" w:rsidRPr="009D07C7" w14:paraId="555DDD49" w14:textId="77777777" w:rsidTr="009B643B">
        <w:tc>
          <w:tcPr>
            <w:tcW w:w="276" w:type="pct"/>
            <w:tcBorders>
              <w:bottom w:val="single" w:sz="4" w:space="0" w:color="auto"/>
            </w:tcBorders>
          </w:tcPr>
          <w:p w14:paraId="365A1FC5" w14:textId="77777777" w:rsidR="007B3A3D" w:rsidRPr="009D07C7" w:rsidRDefault="007B3A3D" w:rsidP="007B3A3D">
            <w:pPr>
              <w:numPr>
                <w:ilvl w:val="0"/>
                <w:numId w:val="1"/>
              </w:numPr>
              <w:rPr>
                <w:sz w:val="22"/>
                <w:szCs w:val="22"/>
              </w:rPr>
            </w:pPr>
          </w:p>
        </w:tc>
        <w:tc>
          <w:tcPr>
            <w:tcW w:w="1726" w:type="pct"/>
            <w:tcBorders>
              <w:bottom w:val="single" w:sz="4" w:space="0" w:color="auto"/>
            </w:tcBorders>
          </w:tcPr>
          <w:p w14:paraId="3A818868" w14:textId="77777777" w:rsidR="007B3A3D" w:rsidRDefault="007B3A3D" w:rsidP="007B3A3D">
            <w:pPr>
              <w:rPr>
                <w:b/>
                <w:sz w:val="22"/>
                <w:szCs w:val="22"/>
              </w:rPr>
            </w:pPr>
            <w:r w:rsidRPr="00654481">
              <w:rPr>
                <w:b/>
                <w:sz w:val="22"/>
                <w:szCs w:val="22"/>
              </w:rPr>
              <w:t>Būtiskas pārmaiņas</w:t>
            </w:r>
            <w:r>
              <w:rPr>
                <w:b/>
                <w:sz w:val="22"/>
                <w:szCs w:val="22"/>
              </w:rPr>
              <w:t xml:space="preserve"> </w:t>
            </w:r>
          </w:p>
          <w:p w14:paraId="165ACE55" w14:textId="77777777" w:rsidR="007B3A3D" w:rsidRPr="00654481" w:rsidRDefault="007B3A3D" w:rsidP="007B3A3D">
            <w:pPr>
              <w:rPr>
                <w:b/>
                <w:sz w:val="22"/>
                <w:szCs w:val="22"/>
              </w:rPr>
            </w:pPr>
            <w:r>
              <w:rPr>
                <w:sz w:val="22"/>
                <w:szCs w:val="22"/>
              </w:rPr>
              <w:t>(</w:t>
            </w:r>
            <w:r w:rsidRPr="003B1A4F">
              <w:rPr>
                <w:sz w:val="22"/>
                <w:szCs w:val="22"/>
              </w:rPr>
              <w:t xml:space="preserve">Regulas </w:t>
            </w:r>
            <w:r>
              <w:rPr>
                <w:sz w:val="22"/>
                <w:szCs w:val="22"/>
              </w:rPr>
              <w:t xml:space="preserve">(ES) </w:t>
            </w:r>
            <w:r w:rsidRPr="003B1A4F">
              <w:rPr>
                <w:sz w:val="22"/>
                <w:szCs w:val="22"/>
              </w:rPr>
              <w:t>Nr.1303/2013 71.pant</w:t>
            </w:r>
            <w:r>
              <w:rPr>
                <w:sz w:val="22"/>
                <w:szCs w:val="22"/>
              </w:rPr>
              <w:t>s)</w:t>
            </w:r>
          </w:p>
          <w:p w14:paraId="34AA5079" w14:textId="77777777" w:rsidR="007B3A3D" w:rsidRDefault="007B3A3D" w:rsidP="007B3A3D">
            <w:pPr>
              <w:jc w:val="both"/>
              <w:rPr>
                <w:sz w:val="22"/>
                <w:szCs w:val="22"/>
              </w:rPr>
            </w:pPr>
          </w:p>
          <w:p w14:paraId="04DDF146" w14:textId="77777777" w:rsidR="007B3A3D" w:rsidRPr="009D07C7" w:rsidRDefault="007B3A3D" w:rsidP="007B3A3D">
            <w:pPr>
              <w:jc w:val="both"/>
              <w:rPr>
                <w:sz w:val="22"/>
                <w:szCs w:val="22"/>
              </w:rPr>
            </w:pPr>
            <w:r>
              <w:rPr>
                <w:b/>
                <w:sz w:val="22"/>
                <w:szCs w:val="22"/>
              </w:rPr>
              <w:t>P</w:t>
            </w:r>
            <w:r w:rsidRPr="00195EE1">
              <w:rPr>
                <w:b/>
                <w:sz w:val="22"/>
                <w:szCs w:val="22"/>
              </w:rPr>
              <w:t>iecus gadus</w:t>
            </w:r>
            <w:r>
              <w:rPr>
                <w:sz w:val="22"/>
                <w:szCs w:val="22"/>
              </w:rPr>
              <w:t xml:space="preserve"> </w:t>
            </w:r>
            <w:r w:rsidRPr="00AA5460">
              <w:rPr>
                <w:b/>
                <w:sz w:val="22"/>
                <w:szCs w:val="22"/>
              </w:rPr>
              <w:t xml:space="preserve">pēc </w:t>
            </w:r>
            <w:r>
              <w:rPr>
                <w:b/>
                <w:sz w:val="22"/>
                <w:szCs w:val="22"/>
              </w:rPr>
              <w:t>projekta</w:t>
            </w:r>
            <w:r w:rsidRPr="00AA5460">
              <w:rPr>
                <w:b/>
                <w:sz w:val="22"/>
                <w:szCs w:val="22"/>
              </w:rPr>
              <w:t xml:space="preserve"> pabeigšanas</w:t>
            </w:r>
            <w:r w:rsidRPr="003B1A4F">
              <w:rPr>
                <w:sz w:val="22"/>
                <w:szCs w:val="22"/>
              </w:rPr>
              <w:t xml:space="preserve"> nav iespējams </w:t>
            </w:r>
            <w:r w:rsidRPr="00195EE1">
              <w:rPr>
                <w:b/>
                <w:sz w:val="22"/>
                <w:szCs w:val="22"/>
              </w:rPr>
              <w:t>veikt paredzētās darbības atbilstoši projekta mērķim, uzturēt projekta rezultātā radītos infrastruktūras objektus un nodrošināt projekta ilgtspēju</w:t>
            </w:r>
            <w:r w:rsidRPr="003B1A4F">
              <w:rPr>
                <w:sz w:val="22"/>
                <w:szCs w:val="22"/>
              </w:rPr>
              <w:t>.</w:t>
            </w:r>
          </w:p>
          <w:p w14:paraId="517DD090" w14:textId="77777777" w:rsidR="007B3A3D" w:rsidRPr="008A64C5" w:rsidRDefault="007B3A3D" w:rsidP="007B3A3D">
            <w:pPr>
              <w:pStyle w:val="Default"/>
              <w:spacing w:before="120" w:after="120"/>
              <w:jc w:val="both"/>
              <w:rPr>
                <w:rFonts w:ascii="Times New Roman" w:hAnsi="Times New Roman" w:cs="Times New Roman"/>
                <w:sz w:val="22"/>
                <w:szCs w:val="22"/>
              </w:rPr>
            </w:pPr>
            <w:r w:rsidRPr="0043035D">
              <w:rPr>
                <w:rFonts w:ascii="Times New Roman" w:hAnsi="Times New Roman" w:cs="Times New Roman"/>
                <w:b/>
                <w:sz w:val="22"/>
                <w:szCs w:val="22"/>
              </w:rPr>
              <w:t>Būtiskas pārmaiņas var iestāties tikai tad, ja ir noticis viens no sekojošiem notikumiem</w:t>
            </w:r>
            <w:r w:rsidRPr="008A64C5">
              <w:rPr>
                <w:rFonts w:ascii="Times New Roman" w:hAnsi="Times New Roman" w:cs="Times New Roman"/>
                <w:sz w:val="22"/>
                <w:szCs w:val="22"/>
              </w:rPr>
              <w:t xml:space="preserve">: </w:t>
            </w:r>
          </w:p>
          <w:p w14:paraId="62B6FEC0" w14:textId="3567485A" w:rsidR="007B3A3D" w:rsidRPr="00A81252" w:rsidRDefault="007B3A3D" w:rsidP="007B3A3D">
            <w:pPr>
              <w:pStyle w:val="ListParagraph"/>
              <w:numPr>
                <w:ilvl w:val="0"/>
                <w:numId w:val="13"/>
              </w:numPr>
              <w:jc w:val="both"/>
              <w:rPr>
                <w:sz w:val="22"/>
              </w:rPr>
            </w:pPr>
            <w:r w:rsidRPr="00A81252">
              <w:rPr>
                <w:sz w:val="22"/>
              </w:rPr>
              <w:t xml:space="preserve">ražošanas </w:t>
            </w:r>
            <w:r w:rsidRPr="00BC5EC1">
              <w:rPr>
                <w:sz w:val="22"/>
              </w:rPr>
              <w:t>darbība</w:t>
            </w:r>
            <w:r>
              <w:rPr>
                <w:sz w:val="22"/>
              </w:rPr>
              <w:t xml:space="preserve">s </w:t>
            </w:r>
            <w:r w:rsidRPr="00A81252">
              <w:rPr>
                <w:sz w:val="22"/>
              </w:rPr>
              <w:t xml:space="preserve">izbeigšana vai pārcelšana uz citu vietu ārpus programmas teritorijas; </w:t>
            </w:r>
          </w:p>
          <w:p w14:paraId="26772536" w14:textId="006789A3" w:rsidR="007B3A3D" w:rsidRPr="00BC5EC1" w:rsidRDefault="007B3A3D" w:rsidP="007B3A3D">
            <w:pPr>
              <w:pStyle w:val="ListParagraph"/>
              <w:numPr>
                <w:ilvl w:val="0"/>
                <w:numId w:val="13"/>
              </w:numPr>
              <w:jc w:val="both"/>
              <w:rPr>
                <w:sz w:val="22"/>
              </w:rPr>
            </w:pPr>
            <w:r w:rsidRPr="00A81252">
              <w:rPr>
                <w:sz w:val="22"/>
              </w:rPr>
              <w:t>tādas izmaiņas infrastruktūras daļas īpašnieku sastāvā, kas sniedz uzņēmumam vai publiskai struktūrai nepamatotas priekšrocības, vai</w:t>
            </w:r>
          </w:p>
          <w:p w14:paraId="19613A48" w14:textId="3AB3D327" w:rsidR="007B3A3D" w:rsidRPr="001108FB" w:rsidRDefault="007B3A3D" w:rsidP="007B3A3D">
            <w:pPr>
              <w:pStyle w:val="ListParagraph"/>
              <w:numPr>
                <w:ilvl w:val="0"/>
                <w:numId w:val="13"/>
              </w:numPr>
              <w:jc w:val="both"/>
              <w:rPr>
                <w:sz w:val="22"/>
              </w:rPr>
            </w:pPr>
            <w:r w:rsidRPr="00A81252">
              <w:rPr>
                <w:sz w:val="22"/>
              </w:rPr>
              <w:t>būtiskas izmaiņas, kas ietekmē darbības veidu, mērķus vai īstenošanas nosacījumus, tādējādi traucējot tās sākotnējo mērķu sasniegšanu</w:t>
            </w:r>
            <w:r>
              <w:rPr>
                <w:sz w:val="22"/>
              </w:rPr>
              <w:t>.</w:t>
            </w:r>
          </w:p>
          <w:p w14:paraId="4571339F" w14:textId="77777777" w:rsidR="007B3A3D" w:rsidRPr="0043035D" w:rsidRDefault="007B3A3D" w:rsidP="007B3A3D">
            <w:pPr>
              <w:pStyle w:val="Default"/>
              <w:rPr>
                <w:rFonts w:ascii="Times New Roman" w:hAnsi="Times New Roman" w:cs="Times New Roman"/>
                <w:sz w:val="22"/>
                <w:szCs w:val="22"/>
              </w:rPr>
            </w:pPr>
          </w:p>
          <w:p w14:paraId="22D62BFC" w14:textId="77777777" w:rsidR="007B3A3D" w:rsidRPr="008A64C5" w:rsidRDefault="007B3A3D" w:rsidP="007B3A3D">
            <w:pPr>
              <w:pStyle w:val="Default"/>
              <w:jc w:val="both"/>
              <w:rPr>
                <w:rFonts w:ascii="Times New Roman" w:hAnsi="Times New Roman" w:cs="Times New Roman"/>
                <w:sz w:val="22"/>
                <w:szCs w:val="22"/>
              </w:rPr>
            </w:pPr>
            <w:r w:rsidRPr="008A64C5">
              <w:rPr>
                <w:rFonts w:ascii="Times New Roman" w:hAnsi="Times New Roman" w:cs="Times New Roman"/>
                <w:sz w:val="22"/>
                <w:szCs w:val="22"/>
              </w:rPr>
              <w:t xml:space="preserve">Turklāt, </w:t>
            </w:r>
            <w:r w:rsidRPr="0043035D">
              <w:rPr>
                <w:rFonts w:ascii="Times New Roman" w:hAnsi="Times New Roman" w:cs="Times New Roman"/>
                <w:b/>
                <w:sz w:val="22"/>
                <w:szCs w:val="22"/>
              </w:rPr>
              <w:t>lai iestātos būtiskas pārmaiņas, šiem notikumiem ir jāizraisa noteiktas sekas</w:t>
            </w:r>
            <w:r w:rsidRPr="008A64C5">
              <w:rPr>
                <w:rFonts w:ascii="Times New Roman" w:hAnsi="Times New Roman" w:cs="Times New Roman"/>
                <w:sz w:val="22"/>
                <w:szCs w:val="22"/>
              </w:rPr>
              <w:t xml:space="preserve">, t.i.: </w:t>
            </w:r>
          </w:p>
          <w:p w14:paraId="0D62387E" w14:textId="77777777" w:rsidR="007B3A3D" w:rsidRPr="00F369F4" w:rsidRDefault="007B3A3D" w:rsidP="00FE4474">
            <w:pPr>
              <w:pStyle w:val="Default"/>
              <w:spacing w:after="26"/>
              <w:jc w:val="both"/>
              <w:rPr>
                <w:rFonts w:ascii="Times New Roman" w:hAnsi="Times New Roman" w:cs="Times New Roman"/>
                <w:sz w:val="22"/>
                <w:szCs w:val="22"/>
              </w:rPr>
            </w:pPr>
            <w:r w:rsidRPr="008A64C5">
              <w:rPr>
                <w:rFonts w:ascii="Times New Roman" w:hAnsi="Times New Roman" w:cs="Times New Roman"/>
                <w:sz w:val="22"/>
                <w:szCs w:val="22"/>
              </w:rPr>
              <w:t>- jāietekmē darbības būtība</w:t>
            </w:r>
            <w:r>
              <w:rPr>
                <w:rFonts w:ascii="Times New Roman" w:hAnsi="Times New Roman" w:cs="Times New Roman"/>
                <w:sz w:val="22"/>
                <w:szCs w:val="22"/>
              </w:rPr>
              <w:t xml:space="preserve"> - </w:t>
            </w:r>
            <w:r w:rsidRPr="008A64C5">
              <w:rPr>
                <w:rFonts w:ascii="Times New Roman" w:hAnsi="Times New Roman" w:cs="Times New Roman"/>
                <w:sz w:val="22"/>
                <w:szCs w:val="22"/>
              </w:rPr>
              <w:t xml:space="preserve"> </w:t>
            </w:r>
            <w:r w:rsidRPr="0043035D">
              <w:rPr>
                <w:rFonts w:ascii="Times New Roman" w:hAnsi="Times New Roman" w:cs="Times New Roman"/>
                <w:sz w:val="22"/>
                <w:szCs w:val="22"/>
              </w:rPr>
              <w:t>nav iespē</w:t>
            </w:r>
            <w:r>
              <w:rPr>
                <w:rFonts w:ascii="Times New Roman" w:hAnsi="Times New Roman" w:cs="Times New Roman"/>
                <w:sz w:val="22"/>
                <w:szCs w:val="22"/>
              </w:rPr>
              <w:t xml:space="preserve">jams veikt    </w:t>
            </w:r>
            <w:r w:rsidRPr="0043035D">
              <w:rPr>
                <w:rFonts w:ascii="Times New Roman" w:hAnsi="Times New Roman" w:cs="Times New Roman"/>
                <w:sz w:val="22"/>
                <w:szCs w:val="22"/>
              </w:rPr>
              <w:t>darbību vai sasniegt darbības mērķus;</w:t>
            </w:r>
            <w:r w:rsidRPr="00F369F4">
              <w:rPr>
                <w:rFonts w:ascii="Times New Roman" w:hAnsi="Times New Roman" w:cs="Times New Roman"/>
                <w:sz w:val="22"/>
                <w:szCs w:val="22"/>
              </w:rPr>
              <w:t xml:space="preserve"> </w:t>
            </w:r>
          </w:p>
          <w:p w14:paraId="0C1DFA5D" w14:textId="77777777" w:rsidR="007B3A3D" w:rsidRPr="008A64C5" w:rsidRDefault="007B3A3D" w:rsidP="00FE4474">
            <w:pPr>
              <w:pStyle w:val="Default"/>
              <w:spacing w:before="120" w:after="120"/>
              <w:jc w:val="both"/>
              <w:rPr>
                <w:rFonts w:ascii="Times New Roman" w:hAnsi="Times New Roman" w:cs="Times New Roman"/>
                <w:sz w:val="22"/>
                <w:szCs w:val="22"/>
              </w:rPr>
            </w:pPr>
            <w:r w:rsidRPr="0043035D">
              <w:rPr>
                <w:rFonts w:ascii="Times New Roman" w:hAnsi="Times New Roman" w:cs="Times New Roman"/>
                <w:sz w:val="22"/>
                <w:szCs w:val="22"/>
              </w:rPr>
              <w:t xml:space="preserve"> v</w:t>
            </w:r>
            <w:r w:rsidRPr="008A64C5">
              <w:rPr>
                <w:rFonts w:ascii="Times New Roman" w:hAnsi="Times New Roman" w:cs="Times New Roman"/>
                <w:sz w:val="22"/>
                <w:szCs w:val="22"/>
              </w:rPr>
              <w:t>ai</w:t>
            </w:r>
          </w:p>
          <w:p w14:paraId="751A8B49" w14:textId="77777777" w:rsidR="007B3A3D" w:rsidRPr="008A64C5" w:rsidRDefault="007B3A3D" w:rsidP="00FE4474">
            <w:pPr>
              <w:pStyle w:val="Default"/>
              <w:spacing w:after="26"/>
              <w:jc w:val="both"/>
              <w:rPr>
                <w:rFonts w:ascii="Times New Roman" w:hAnsi="Times New Roman" w:cs="Times New Roman"/>
                <w:i/>
                <w:sz w:val="22"/>
                <w:szCs w:val="22"/>
              </w:rPr>
            </w:pPr>
            <w:r w:rsidRPr="008A64C5">
              <w:rPr>
                <w:rFonts w:ascii="Times New Roman" w:hAnsi="Times New Roman" w:cs="Times New Roman"/>
                <w:sz w:val="22"/>
                <w:szCs w:val="22"/>
              </w:rPr>
              <w:t>- jāietekmē darbības īstenošanas nosacījumi</w:t>
            </w:r>
            <w:r>
              <w:rPr>
                <w:rFonts w:ascii="Times New Roman" w:hAnsi="Times New Roman" w:cs="Times New Roman"/>
                <w:sz w:val="22"/>
                <w:szCs w:val="22"/>
              </w:rPr>
              <w:t xml:space="preserve"> -</w:t>
            </w:r>
            <w:r w:rsidRPr="008A64C5">
              <w:rPr>
                <w:rFonts w:ascii="Times New Roman" w:hAnsi="Times New Roman" w:cs="Times New Roman"/>
                <w:sz w:val="22"/>
                <w:szCs w:val="22"/>
              </w:rPr>
              <w:t xml:space="preserve"> </w:t>
            </w:r>
            <w:r w:rsidRPr="0043035D">
              <w:rPr>
                <w:rFonts w:ascii="Times New Roman" w:hAnsi="Times New Roman" w:cs="Times New Roman"/>
                <w:sz w:val="22"/>
                <w:szCs w:val="22"/>
              </w:rPr>
              <w:t>līguma nosacījumu vai normatīvo aktu pārkāpums/ izmaiņas finansējuma saņēmēja tiesiskajā statusā, kura dēļ tas nevar pretendēt uz atbalsta saņemšanu;</w:t>
            </w:r>
          </w:p>
          <w:p w14:paraId="165E76FE" w14:textId="77777777" w:rsidR="007B3A3D" w:rsidRPr="008A64C5" w:rsidRDefault="007B3A3D" w:rsidP="00FE4474">
            <w:pPr>
              <w:pStyle w:val="Default"/>
              <w:spacing w:before="120" w:after="120"/>
              <w:jc w:val="both"/>
              <w:rPr>
                <w:rFonts w:ascii="Times New Roman" w:hAnsi="Times New Roman" w:cs="Times New Roman"/>
                <w:sz w:val="22"/>
                <w:szCs w:val="22"/>
              </w:rPr>
            </w:pPr>
            <w:r w:rsidRPr="0043035D">
              <w:rPr>
                <w:rFonts w:ascii="Times New Roman" w:hAnsi="Times New Roman" w:cs="Times New Roman"/>
                <w:sz w:val="22"/>
                <w:szCs w:val="22"/>
              </w:rPr>
              <w:t>vai arī</w:t>
            </w:r>
            <w:r w:rsidRPr="008A64C5">
              <w:rPr>
                <w:rFonts w:ascii="Times New Roman" w:hAnsi="Times New Roman" w:cs="Times New Roman"/>
                <w:sz w:val="22"/>
                <w:szCs w:val="22"/>
              </w:rPr>
              <w:t xml:space="preserve"> </w:t>
            </w:r>
          </w:p>
          <w:p w14:paraId="4107B156" w14:textId="77777777" w:rsidR="007B3A3D" w:rsidRPr="0043035D" w:rsidRDefault="007B3A3D" w:rsidP="00FE4474">
            <w:pPr>
              <w:pStyle w:val="Default"/>
              <w:jc w:val="both"/>
              <w:rPr>
                <w:rFonts w:ascii="Times New Roman" w:hAnsi="Times New Roman" w:cs="Times New Roman"/>
                <w:sz w:val="22"/>
                <w:szCs w:val="22"/>
              </w:rPr>
            </w:pPr>
            <w:r w:rsidRPr="008A64C5">
              <w:rPr>
                <w:rFonts w:ascii="Times New Roman" w:hAnsi="Times New Roman" w:cs="Times New Roman"/>
                <w:sz w:val="22"/>
                <w:szCs w:val="22"/>
              </w:rPr>
              <w:t>- jārada nepamatotas priekšrocības uzņēmumam vai publiskai struktū</w:t>
            </w:r>
            <w:r>
              <w:rPr>
                <w:rFonts w:ascii="Times New Roman" w:hAnsi="Times New Roman" w:cs="Times New Roman"/>
                <w:sz w:val="22"/>
                <w:szCs w:val="22"/>
              </w:rPr>
              <w:t xml:space="preserve">rai- </w:t>
            </w:r>
            <w:r w:rsidRPr="008A64C5">
              <w:rPr>
                <w:rFonts w:ascii="Times New Roman" w:hAnsi="Times New Roman" w:cs="Times New Roman"/>
                <w:sz w:val="22"/>
                <w:szCs w:val="22"/>
              </w:rPr>
              <w:t xml:space="preserve"> </w:t>
            </w:r>
            <w:r>
              <w:rPr>
                <w:rFonts w:ascii="Times New Roman" w:hAnsi="Times New Roman" w:cs="Times New Roman"/>
                <w:sz w:val="22"/>
                <w:szCs w:val="22"/>
              </w:rPr>
              <w:t>t</w:t>
            </w:r>
            <w:r w:rsidRPr="0043035D">
              <w:rPr>
                <w:rFonts w:ascii="Times New Roman" w:hAnsi="Times New Roman" w:cs="Times New Roman"/>
                <w:sz w:val="22"/>
                <w:szCs w:val="22"/>
              </w:rPr>
              <w:t>ādas labvēlīgas situācijas radīšana, kura nepastāvētu normālos tirgus apstākļos un nav atbilstoša atbalsta piešķiršanas mērķiem</w:t>
            </w:r>
            <w:r>
              <w:rPr>
                <w:rFonts w:ascii="Times New Roman" w:hAnsi="Times New Roman" w:cs="Times New Roman"/>
                <w:sz w:val="22"/>
                <w:szCs w:val="22"/>
              </w:rPr>
              <w:t>.</w:t>
            </w:r>
            <w:r>
              <w:rPr>
                <w:sz w:val="23"/>
                <w:szCs w:val="23"/>
              </w:rPr>
              <w:t xml:space="preserve"> </w:t>
            </w:r>
          </w:p>
          <w:p w14:paraId="5F2AF985" w14:textId="77777777" w:rsidR="007B3A3D" w:rsidRPr="008A64C5" w:rsidRDefault="007B3A3D" w:rsidP="007B3A3D">
            <w:pPr>
              <w:pStyle w:val="Default"/>
              <w:rPr>
                <w:rFonts w:ascii="Times New Roman" w:hAnsi="Times New Roman" w:cs="Times New Roman"/>
                <w:sz w:val="22"/>
                <w:szCs w:val="22"/>
              </w:rPr>
            </w:pPr>
          </w:p>
          <w:p w14:paraId="0EB355E3" w14:textId="77777777" w:rsidR="007B3A3D" w:rsidRPr="00195EE1" w:rsidRDefault="007B3A3D" w:rsidP="007B3A3D">
            <w:pPr>
              <w:jc w:val="both"/>
              <w:rPr>
                <w:sz w:val="22"/>
                <w:szCs w:val="22"/>
              </w:rPr>
            </w:pPr>
          </w:p>
          <w:p w14:paraId="10F28E87" w14:textId="77777777" w:rsidR="007B3A3D" w:rsidRPr="009D07C7" w:rsidRDefault="007B3A3D" w:rsidP="007B3A3D">
            <w:pPr>
              <w:jc w:val="both"/>
              <w:rPr>
                <w:sz w:val="22"/>
                <w:szCs w:val="22"/>
              </w:rPr>
            </w:pPr>
          </w:p>
          <w:p w14:paraId="44529933" w14:textId="77777777" w:rsidR="007B3A3D" w:rsidRPr="009D07C7" w:rsidRDefault="007B3A3D" w:rsidP="007B3A3D">
            <w:pPr>
              <w:jc w:val="both"/>
              <w:rPr>
                <w:sz w:val="22"/>
                <w:szCs w:val="22"/>
              </w:rPr>
            </w:pPr>
          </w:p>
          <w:p w14:paraId="2FCC104C" w14:textId="77777777" w:rsidR="007B3A3D" w:rsidRPr="009D07C7" w:rsidRDefault="007B3A3D" w:rsidP="007B3A3D">
            <w:pPr>
              <w:jc w:val="both"/>
              <w:rPr>
                <w:sz w:val="22"/>
                <w:szCs w:val="22"/>
              </w:rPr>
            </w:pPr>
          </w:p>
          <w:p w14:paraId="4299F41F" w14:textId="77777777" w:rsidR="007B3A3D" w:rsidRPr="009D07C7" w:rsidRDefault="007B3A3D" w:rsidP="007B3A3D">
            <w:pPr>
              <w:jc w:val="both"/>
              <w:rPr>
                <w:sz w:val="22"/>
                <w:szCs w:val="22"/>
              </w:rPr>
            </w:pPr>
          </w:p>
          <w:p w14:paraId="2737322A" w14:textId="77777777" w:rsidR="007B3A3D" w:rsidRPr="009D07C7" w:rsidRDefault="007B3A3D" w:rsidP="007B3A3D">
            <w:pPr>
              <w:jc w:val="both"/>
              <w:rPr>
                <w:sz w:val="22"/>
                <w:szCs w:val="22"/>
              </w:rPr>
            </w:pPr>
          </w:p>
          <w:p w14:paraId="0B8C3420" w14:textId="77777777" w:rsidR="007B3A3D" w:rsidRPr="009D07C7" w:rsidRDefault="007B3A3D" w:rsidP="007B3A3D">
            <w:pPr>
              <w:jc w:val="both"/>
              <w:rPr>
                <w:sz w:val="22"/>
                <w:szCs w:val="22"/>
              </w:rPr>
            </w:pPr>
          </w:p>
          <w:p w14:paraId="1CB87250" w14:textId="77777777" w:rsidR="007B3A3D" w:rsidRPr="009D07C7" w:rsidRDefault="007B3A3D" w:rsidP="007B3A3D">
            <w:pPr>
              <w:jc w:val="both"/>
              <w:rPr>
                <w:sz w:val="22"/>
                <w:szCs w:val="22"/>
              </w:rPr>
            </w:pPr>
          </w:p>
          <w:p w14:paraId="6B0633DD" w14:textId="77777777" w:rsidR="007B3A3D" w:rsidRPr="009D07C7" w:rsidRDefault="007B3A3D" w:rsidP="007B3A3D">
            <w:pPr>
              <w:jc w:val="both"/>
              <w:rPr>
                <w:sz w:val="22"/>
                <w:szCs w:val="22"/>
              </w:rPr>
            </w:pPr>
          </w:p>
          <w:p w14:paraId="68008617" w14:textId="77777777" w:rsidR="007B3A3D" w:rsidRPr="009D07C7" w:rsidRDefault="007B3A3D" w:rsidP="007B3A3D">
            <w:pPr>
              <w:jc w:val="both"/>
              <w:rPr>
                <w:sz w:val="22"/>
                <w:szCs w:val="22"/>
              </w:rPr>
            </w:pPr>
          </w:p>
          <w:p w14:paraId="77251444" w14:textId="77777777" w:rsidR="007B3A3D" w:rsidRPr="009D07C7" w:rsidRDefault="007B3A3D" w:rsidP="007B3A3D">
            <w:pPr>
              <w:jc w:val="both"/>
              <w:rPr>
                <w:sz w:val="22"/>
                <w:szCs w:val="22"/>
              </w:rPr>
            </w:pPr>
          </w:p>
          <w:p w14:paraId="648774D4" w14:textId="77777777" w:rsidR="007B3A3D" w:rsidRPr="009D07C7" w:rsidRDefault="007B3A3D" w:rsidP="007B3A3D">
            <w:pPr>
              <w:jc w:val="both"/>
              <w:rPr>
                <w:sz w:val="22"/>
                <w:szCs w:val="22"/>
              </w:rPr>
            </w:pPr>
          </w:p>
          <w:p w14:paraId="3B99DA3C" w14:textId="77777777" w:rsidR="007B3A3D" w:rsidRPr="009D07C7" w:rsidRDefault="007B3A3D" w:rsidP="007B3A3D">
            <w:pPr>
              <w:jc w:val="both"/>
              <w:rPr>
                <w:sz w:val="22"/>
                <w:szCs w:val="22"/>
              </w:rPr>
            </w:pPr>
          </w:p>
          <w:p w14:paraId="1855F4E2" w14:textId="77777777" w:rsidR="007B3A3D" w:rsidRPr="009D07C7" w:rsidRDefault="007B3A3D" w:rsidP="007B3A3D">
            <w:pPr>
              <w:jc w:val="both"/>
              <w:rPr>
                <w:sz w:val="22"/>
                <w:szCs w:val="22"/>
              </w:rPr>
            </w:pPr>
          </w:p>
          <w:p w14:paraId="34A047B6" w14:textId="77777777" w:rsidR="007B3A3D" w:rsidRPr="009D07C7" w:rsidRDefault="007B3A3D" w:rsidP="007B3A3D">
            <w:pPr>
              <w:jc w:val="both"/>
              <w:rPr>
                <w:sz w:val="22"/>
                <w:szCs w:val="22"/>
              </w:rPr>
            </w:pPr>
          </w:p>
          <w:p w14:paraId="03EBE125" w14:textId="77777777" w:rsidR="007B3A3D" w:rsidRPr="009D07C7" w:rsidRDefault="007B3A3D" w:rsidP="007B3A3D">
            <w:pPr>
              <w:jc w:val="both"/>
              <w:rPr>
                <w:sz w:val="22"/>
                <w:szCs w:val="22"/>
              </w:rPr>
            </w:pPr>
          </w:p>
          <w:p w14:paraId="0B28FB9F" w14:textId="77777777" w:rsidR="007B3A3D" w:rsidRPr="009D07C7" w:rsidRDefault="007B3A3D" w:rsidP="007B3A3D">
            <w:pPr>
              <w:jc w:val="both"/>
              <w:rPr>
                <w:sz w:val="22"/>
                <w:szCs w:val="22"/>
              </w:rPr>
            </w:pPr>
          </w:p>
          <w:p w14:paraId="3E49B890" w14:textId="77777777" w:rsidR="007B3A3D" w:rsidRPr="009D07C7" w:rsidRDefault="007B3A3D" w:rsidP="007B3A3D">
            <w:pPr>
              <w:jc w:val="both"/>
              <w:rPr>
                <w:sz w:val="22"/>
                <w:szCs w:val="22"/>
              </w:rPr>
            </w:pPr>
          </w:p>
          <w:p w14:paraId="2D3A2FD3" w14:textId="77777777" w:rsidR="007B3A3D" w:rsidRPr="009D07C7" w:rsidRDefault="007B3A3D" w:rsidP="007B3A3D">
            <w:pPr>
              <w:jc w:val="both"/>
              <w:rPr>
                <w:sz w:val="22"/>
                <w:szCs w:val="22"/>
              </w:rPr>
            </w:pPr>
          </w:p>
          <w:p w14:paraId="2C497E61" w14:textId="77777777" w:rsidR="007B3A3D" w:rsidRPr="009D07C7" w:rsidRDefault="007B3A3D" w:rsidP="007B3A3D">
            <w:pPr>
              <w:jc w:val="both"/>
              <w:rPr>
                <w:sz w:val="22"/>
                <w:szCs w:val="22"/>
              </w:rPr>
            </w:pPr>
          </w:p>
          <w:p w14:paraId="1A822914" w14:textId="77777777" w:rsidR="007B3A3D" w:rsidRPr="009D07C7" w:rsidRDefault="007B3A3D" w:rsidP="007B3A3D">
            <w:pPr>
              <w:jc w:val="both"/>
              <w:rPr>
                <w:sz w:val="22"/>
                <w:szCs w:val="22"/>
              </w:rPr>
            </w:pPr>
          </w:p>
          <w:p w14:paraId="0E6EB5F1" w14:textId="77777777" w:rsidR="007B3A3D" w:rsidRPr="009D07C7" w:rsidRDefault="007B3A3D" w:rsidP="007B3A3D">
            <w:pPr>
              <w:jc w:val="both"/>
              <w:rPr>
                <w:sz w:val="22"/>
                <w:szCs w:val="22"/>
              </w:rPr>
            </w:pPr>
          </w:p>
          <w:p w14:paraId="48469194" w14:textId="77777777" w:rsidR="007B3A3D" w:rsidRPr="009D07C7" w:rsidRDefault="007B3A3D" w:rsidP="007B3A3D">
            <w:pPr>
              <w:jc w:val="both"/>
              <w:rPr>
                <w:sz w:val="22"/>
                <w:szCs w:val="22"/>
              </w:rPr>
            </w:pPr>
          </w:p>
          <w:p w14:paraId="564BA8FD" w14:textId="77777777" w:rsidR="007B3A3D" w:rsidRPr="009D07C7" w:rsidRDefault="007B3A3D" w:rsidP="007B3A3D">
            <w:pPr>
              <w:jc w:val="both"/>
              <w:rPr>
                <w:sz w:val="22"/>
                <w:szCs w:val="22"/>
              </w:rPr>
            </w:pPr>
          </w:p>
          <w:p w14:paraId="2F9EE407" w14:textId="77777777" w:rsidR="007B3A3D" w:rsidRPr="009D07C7" w:rsidRDefault="007B3A3D" w:rsidP="007B3A3D">
            <w:pPr>
              <w:jc w:val="both"/>
              <w:rPr>
                <w:sz w:val="22"/>
                <w:szCs w:val="22"/>
              </w:rPr>
            </w:pPr>
          </w:p>
          <w:p w14:paraId="7D9EAC84" w14:textId="77777777" w:rsidR="007B3A3D" w:rsidRPr="009D07C7" w:rsidRDefault="007B3A3D" w:rsidP="007B3A3D">
            <w:pPr>
              <w:jc w:val="both"/>
              <w:rPr>
                <w:sz w:val="22"/>
                <w:szCs w:val="22"/>
              </w:rPr>
            </w:pPr>
          </w:p>
          <w:p w14:paraId="4B4D4B33" w14:textId="77777777" w:rsidR="007B3A3D" w:rsidRPr="009D07C7" w:rsidRDefault="007B3A3D" w:rsidP="007B3A3D">
            <w:pPr>
              <w:jc w:val="both"/>
              <w:rPr>
                <w:sz w:val="22"/>
                <w:szCs w:val="22"/>
              </w:rPr>
            </w:pPr>
          </w:p>
          <w:p w14:paraId="6F4AB81E" w14:textId="77777777" w:rsidR="007B3A3D" w:rsidRPr="009D07C7" w:rsidRDefault="007B3A3D" w:rsidP="007B3A3D">
            <w:pPr>
              <w:jc w:val="both"/>
              <w:rPr>
                <w:sz w:val="22"/>
                <w:szCs w:val="22"/>
              </w:rPr>
            </w:pPr>
          </w:p>
          <w:p w14:paraId="208659E0" w14:textId="77777777" w:rsidR="007B3A3D" w:rsidRPr="009D07C7" w:rsidRDefault="007B3A3D" w:rsidP="007B3A3D">
            <w:pPr>
              <w:jc w:val="both"/>
              <w:rPr>
                <w:sz w:val="22"/>
                <w:szCs w:val="22"/>
              </w:rPr>
            </w:pPr>
          </w:p>
          <w:p w14:paraId="5D32AD55" w14:textId="77777777" w:rsidR="007B3A3D" w:rsidRPr="009D07C7" w:rsidRDefault="007B3A3D" w:rsidP="007B3A3D">
            <w:pPr>
              <w:jc w:val="both"/>
              <w:rPr>
                <w:sz w:val="22"/>
                <w:szCs w:val="22"/>
              </w:rPr>
            </w:pPr>
          </w:p>
          <w:p w14:paraId="7C30703D" w14:textId="77777777" w:rsidR="007B3A3D" w:rsidRPr="009D07C7" w:rsidRDefault="007B3A3D" w:rsidP="007B3A3D">
            <w:pPr>
              <w:jc w:val="both"/>
              <w:rPr>
                <w:sz w:val="22"/>
                <w:szCs w:val="22"/>
              </w:rPr>
            </w:pPr>
          </w:p>
          <w:p w14:paraId="694ED69C" w14:textId="77777777" w:rsidR="007B3A3D" w:rsidRPr="009D07C7" w:rsidRDefault="007B3A3D" w:rsidP="007B3A3D">
            <w:pPr>
              <w:jc w:val="both"/>
              <w:rPr>
                <w:sz w:val="22"/>
                <w:szCs w:val="22"/>
              </w:rPr>
            </w:pPr>
          </w:p>
          <w:p w14:paraId="108C01A8" w14:textId="77777777" w:rsidR="007B3A3D" w:rsidRPr="009D07C7" w:rsidRDefault="007B3A3D" w:rsidP="007B3A3D">
            <w:pPr>
              <w:jc w:val="both"/>
              <w:rPr>
                <w:sz w:val="22"/>
                <w:szCs w:val="22"/>
              </w:rPr>
            </w:pPr>
          </w:p>
          <w:p w14:paraId="66283B7B" w14:textId="77777777" w:rsidR="007B3A3D" w:rsidRPr="009D07C7" w:rsidRDefault="007B3A3D" w:rsidP="007B3A3D">
            <w:pPr>
              <w:jc w:val="both"/>
              <w:rPr>
                <w:sz w:val="22"/>
                <w:szCs w:val="22"/>
              </w:rPr>
            </w:pPr>
          </w:p>
          <w:p w14:paraId="307ED964" w14:textId="77777777" w:rsidR="007B3A3D" w:rsidRPr="009D07C7" w:rsidRDefault="007B3A3D" w:rsidP="007B3A3D">
            <w:pPr>
              <w:jc w:val="both"/>
              <w:rPr>
                <w:sz w:val="22"/>
                <w:szCs w:val="22"/>
              </w:rPr>
            </w:pPr>
          </w:p>
          <w:p w14:paraId="0D66A6E6" w14:textId="77777777" w:rsidR="007B3A3D" w:rsidRPr="009D07C7" w:rsidRDefault="007B3A3D" w:rsidP="007B3A3D">
            <w:pPr>
              <w:jc w:val="both"/>
              <w:rPr>
                <w:sz w:val="22"/>
                <w:szCs w:val="22"/>
              </w:rPr>
            </w:pPr>
          </w:p>
          <w:p w14:paraId="361D89AA" w14:textId="77777777" w:rsidR="007B3A3D" w:rsidRPr="009D07C7" w:rsidRDefault="007B3A3D" w:rsidP="007B3A3D">
            <w:pPr>
              <w:jc w:val="both"/>
              <w:rPr>
                <w:sz w:val="22"/>
                <w:szCs w:val="22"/>
              </w:rPr>
            </w:pPr>
          </w:p>
          <w:p w14:paraId="26371CDF" w14:textId="77777777" w:rsidR="007B3A3D" w:rsidRPr="009D07C7" w:rsidRDefault="007B3A3D" w:rsidP="007B3A3D">
            <w:pPr>
              <w:jc w:val="both"/>
              <w:rPr>
                <w:sz w:val="22"/>
                <w:szCs w:val="22"/>
              </w:rPr>
            </w:pPr>
          </w:p>
          <w:p w14:paraId="2B5B4FE2" w14:textId="77777777" w:rsidR="007B3A3D" w:rsidRPr="009D07C7" w:rsidRDefault="007B3A3D" w:rsidP="007B3A3D">
            <w:pPr>
              <w:jc w:val="both"/>
              <w:rPr>
                <w:sz w:val="22"/>
                <w:szCs w:val="22"/>
              </w:rPr>
            </w:pPr>
          </w:p>
          <w:p w14:paraId="691465C5" w14:textId="77777777" w:rsidR="007B3A3D" w:rsidRPr="009D07C7" w:rsidRDefault="007B3A3D" w:rsidP="007B3A3D">
            <w:pPr>
              <w:jc w:val="both"/>
              <w:rPr>
                <w:sz w:val="22"/>
                <w:szCs w:val="22"/>
              </w:rPr>
            </w:pPr>
          </w:p>
          <w:p w14:paraId="4E911A25" w14:textId="77777777" w:rsidR="007B3A3D" w:rsidRPr="009D07C7" w:rsidRDefault="007B3A3D" w:rsidP="007B3A3D">
            <w:pPr>
              <w:jc w:val="both"/>
              <w:rPr>
                <w:sz w:val="22"/>
                <w:szCs w:val="22"/>
              </w:rPr>
            </w:pPr>
          </w:p>
          <w:p w14:paraId="2FA4E6A4" w14:textId="77777777" w:rsidR="007B3A3D" w:rsidRPr="009D07C7" w:rsidRDefault="007B3A3D" w:rsidP="007B3A3D">
            <w:pPr>
              <w:jc w:val="both"/>
              <w:rPr>
                <w:sz w:val="22"/>
                <w:szCs w:val="22"/>
              </w:rPr>
            </w:pPr>
          </w:p>
          <w:p w14:paraId="6430FC50" w14:textId="77777777" w:rsidR="007B3A3D" w:rsidRPr="009D07C7" w:rsidRDefault="007B3A3D" w:rsidP="007B3A3D">
            <w:pPr>
              <w:jc w:val="both"/>
              <w:rPr>
                <w:sz w:val="22"/>
                <w:szCs w:val="22"/>
              </w:rPr>
            </w:pPr>
          </w:p>
          <w:p w14:paraId="464C87FE" w14:textId="77777777" w:rsidR="007B3A3D" w:rsidRPr="009D07C7" w:rsidRDefault="007B3A3D" w:rsidP="007B3A3D">
            <w:pPr>
              <w:jc w:val="both"/>
              <w:rPr>
                <w:sz w:val="22"/>
                <w:szCs w:val="22"/>
              </w:rPr>
            </w:pPr>
          </w:p>
          <w:p w14:paraId="0109E994" w14:textId="77777777" w:rsidR="007B3A3D" w:rsidRPr="009D07C7" w:rsidRDefault="007B3A3D" w:rsidP="007B3A3D">
            <w:pPr>
              <w:jc w:val="both"/>
              <w:rPr>
                <w:sz w:val="22"/>
                <w:szCs w:val="22"/>
              </w:rPr>
            </w:pPr>
          </w:p>
          <w:p w14:paraId="74527F1F" w14:textId="77777777" w:rsidR="007B3A3D" w:rsidRPr="009D07C7" w:rsidRDefault="007B3A3D" w:rsidP="007B3A3D">
            <w:pPr>
              <w:jc w:val="both"/>
              <w:rPr>
                <w:sz w:val="22"/>
                <w:szCs w:val="22"/>
              </w:rPr>
            </w:pPr>
          </w:p>
          <w:p w14:paraId="1BE3B67C" w14:textId="77777777" w:rsidR="007B3A3D" w:rsidRPr="009D07C7" w:rsidRDefault="007B3A3D" w:rsidP="007B3A3D">
            <w:pPr>
              <w:jc w:val="both"/>
              <w:rPr>
                <w:sz w:val="22"/>
                <w:szCs w:val="22"/>
              </w:rPr>
            </w:pPr>
          </w:p>
          <w:p w14:paraId="09DC798F" w14:textId="77777777" w:rsidR="007B3A3D" w:rsidRPr="009D07C7" w:rsidRDefault="007B3A3D" w:rsidP="007B3A3D">
            <w:pPr>
              <w:jc w:val="both"/>
              <w:rPr>
                <w:sz w:val="22"/>
                <w:szCs w:val="22"/>
              </w:rPr>
            </w:pPr>
          </w:p>
          <w:p w14:paraId="6A301380" w14:textId="77777777" w:rsidR="007B3A3D" w:rsidRPr="009D07C7" w:rsidRDefault="007B3A3D" w:rsidP="007B3A3D">
            <w:pPr>
              <w:jc w:val="both"/>
              <w:rPr>
                <w:sz w:val="22"/>
                <w:szCs w:val="22"/>
              </w:rPr>
            </w:pPr>
          </w:p>
          <w:p w14:paraId="51690A50" w14:textId="77777777" w:rsidR="007B3A3D" w:rsidRPr="009D07C7" w:rsidRDefault="007B3A3D" w:rsidP="007B3A3D">
            <w:pPr>
              <w:jc w:val="both"/>
              <w:rPr>
                <w:sz w:val="22"/>
                <w:szCs w:val="22"/>
              </w:rPr>
            </w:pPr>
          </w:p>
          <w:p w14:paraId="45BD7FB8" w14:textId="77777777" w:rsidR="007B3A3D" w:rsidRPr="009D07C7" w:rsidRDefault="007B3A3D" w:rsidP="007B3A3D">
            <w:pPr>
              <w:jc w:val="both"/>
              <w:rPr>
                <w:sz w:val="22"/>
                <w:szCs w:val="22"/>
              </w:rPr>
            </w:pPr>
          </w:p>
          <w:p w14:paraId="11D99BD3" w14:textId="77777777" w:rsidR="007B3A3D" w:rsidRPr="009D07C7" w:rsidRDefault="007B3A3D" w:rsidP="007B3A3D">
            <w:pPr>
              <w:jc w:val="both"/>
              <w:rPr>
                <w:sz w:val="22"/>
                <w:szCs w:val="22"/>
              </w:rPr>
            </w:pPr>
          </w:p>
          <w:p w14:paraId="643BA94B" w14:textId="77777777" w:rsidR="007B3A3D" w:rsidRPr="009D07C7" w:rsidRDefault="007B3A3D" w:rsidP="007B3A3D">
            <w:pPr>
              <w:jc w:val="both"/>
              <w:rPr>
                <w:sz w:val="22"/>
                <w:szCs w:val="22"/>
              </w:rPr>
            </w:pPr>
          </w:p>
          <w:p w14:paraId="5FDA9290" w14:textId="77777777" w:rsidR="007B3A3D" w:rsidRPr="009D07C7" w:rsidRDefault="007B3A3D" w:rsidP="007B3A3D">
            <w:pPr>
              <w:jc w:val="both"/>
              <w:rPr>
                <w:sz w:val="22"/>
                <w:szCs w:val="22"/>
              </w:rPr>
            </w:pPr>
          </w:p>
          <w:p w14:paraId="5F3582DD" w14:textId="77777777" w:rsidR="007B3A3D" w:rsidRPr="009D07C7" w:rsidRDefault="007B3A3D" w:rsidP="007B3A3D">
            <w:pPr>
              <w:jc w:val="both"/>
              <w:rPr>
                <w:sz w:val="22"/>
                <w:szCs w:val="22"/>
              </w:rPr>
            </w:pPr>
          </w:p>
          <w:p w14:paraId="22EA4F59" w14:textId="77777777" w:rsidR="007B3A3D" w:rsidRPr="009D07C7" w:rsidRDefault="007B3A3D" w:rsidP="007B3A3D">
            <w:pPr>
              <w:jc w:val="both"/>
              <w:rPr>
                <w:sz w:val="22"/>
                <w:szCs w:val="22"/>
              </w:rPr>
            </w:pPr>
          </w:p>
          <w:p w14:paraId="11F2D4DD" w14:textId="77777777" w:rsidR="007B3A3D" w:rsidRPr="009D07C7" w:rsidRDefault="007B3A3D" w:rsidP="007B3A3D">
            <w:pPr>
              <w:jc w:val="both"/>
              <w:rPr>
                <w:sz w:val="22"/>
                <w:szCs w:val="22"/>
              </w:rPr>
            </w:pPr>
          </w:p>
          <w:p w14:paraId="2BDCD95C" w14:textId="77777777" w:rsidR="007B3A3D" w:rsidRPr="009D07C7" w:rsidRDefault="007B3A3D" w:rsidP="007B3A3D">
            <w:pPr>
              <w:jc w:val="both"/>
              <w:rPr>
                <w:sz w:val="22"/>
                <w:szCs w:val="22"/>
              </w:rPr>
            </w:pPr>
          </w:p>
          <w:p w14:paraId="528B654E" w14:textId="77777777" w:rsidR="007B3A3D" w:rsidRPr="009D07C7" w:rsidRDefault="007B3A3D" w:rsidP="007B3A3D">
            <w:pPr>
              <w:jc w:val="both"/>
              <w:rPr>
                <w:sz w:val="22"/>
                <w:szCs w:val="22"/>
              </w:rPr>
            </w:pPr>
          </w:p>
          <w:p w14:paraId="48BA34BB" w14:textId="77777777" w:rsidR="007B3A3D" w:rsidRPr="009D07C7" w:rsidRDefault="007B3A3D" w:rsidP="007B3A3D">
            <w:pPr>
              <w:jc w:val="both"/>
              <w:rPr>
                <w:sz w:val="22"/>
                <w:szCs w:val="22"/>
              </w:rPr>
            </w:pPr>
          </w:p>
          <w:p w14:paraId="2A85CA25" w14:textId="77777777" w:rsidR="007B3A3D" w:rsidRPr="009D07C7" w:rsidRDefault="007B3A3D" w:rsidP="007B3A3D">
            <w:pPr>
              <w:jc w:val="both"/>
              <w:rPr>
                <w:sz w:val="22"/>
                <w:szCs w:val="22"/>
              </w:rPr>
            </w:pPr>
          </w:p>
          <w:p w14:paraId="69A8A99B" w14:textId="77777777" w:rsidR="007B3A3D" w:rsidRPr="009D07C7" w:rsidRDefault="007B3A3D" w:rsidP="007B3A3D">
            <w:pPr>
              <w:jc w:val="both"/>
              <w:rPr>
                <w:sz w:val="22"/>
                <w:szCs w:val="22"/>
              </w:rPr>
            </w:pPr>
          </w:p>
          <w:p w14:paraId="067F9A0C" w14:textId="77777777" w:rsidR="007B3A3D" w:rsidRPr="009D07C7" w:rsidRDefault="007B3A3D" w:rsidP="007B3A3D">
            <w:pPr>
              <w:jc w:val="both"/>
              <w:rPr>
                <w:sz w:val="22"/>
                <w:szCs w:val="22"/>
              </w:rPr>
            </w:pPr>
          </w:p>
          <w:p w14:paraId="68455FB3" w14:textId="77777777" w:rsidR="007B3A3D" w:rsidRPr="009D07C7" w:rsidRDefault="007B3A3D" w:rsidP="007B3A3D">
            <w:pPr>
              <w:jc w:val="both"/>
              <w:rPr>
                <w:sz w:val="22"/>
                <w:szCs w:val="22"/>
              </w:rPr>
            </w:pPr>
          </w:p>
          <w:p w14:paraId="48754FB6" w14:textId="77777777" w:rsidR="007B3A3D" w:rsidRPr="009D07C7" w:rsidRDefault="007B3A3D" w:rsidP="007B3A3D">
            <w:pPr>
              <w:jc w:val="both"/>
              <w:rPr>
                <w:sz w:val="22"/>
                <w:szCs w:val="22"/>
              </w:rPr>
            </w:pPr>
          </w:p>
          <w:p w14:paraId="577FD25B" w14:textId="77777777" w:rsidR="007B3A3D" w:rsidRDefault="007B3A3D" w:rsidP="007B3A3D">
            <w:pPr>
              <w:pStyle w:val="Default"/>
              <w:jc w:val="both"/>
              <w:rPr>
                <w:rFonts w:ascii="Times New Roman" w:hAnsi="Times New Roman" w:cs="Times New Roman"/>
                <w:sz w:val="22"/>
                <w:szCs w:val="22"/>
              </w:rPr>
            </w:pPr>
          </w:p>
          <w:p w14:paraId="5DB5D3B5" w14:textId="77777777" w:rsidR="007B3A3D" w:rsidRPr="009D07C7" w:rsidRDefault="007B3A3D" w:rsidP="007B3A3D">
            <w:pPr>
              <w:pStyle w:val="Default"/>
              <w:jc w:val="both"/>
              <w:rPr>
                <w:rFonts w:ascii="Times New Roman" w:hAnsi="Times New Roman" w:cs="Times New Roman"/>
                <w:color w:val="auto"/>
                <w:sz w:val="22"/>
                <w:szCs w:val="22"/>
              </w:rPr>
            </w:pPr>
            <w:r w:rsidRPr="009D07C7">
              <w:rPr>
                <w:sz w:val="22"/>
                <w:szCs w:val="22"/>
              </w:rPr>
              <w:t xml:space="preserve"> </w:t>
            </w:r>
          </w:p>
          <w:p w14:paraId="030614F7" w14:textId="77777777" w:rsidR="007B3A3D" w:rsidRPr="009D07C7" w:rsidRDefault="007B3A3D" w:rsidP="007B3A3D">
            <w:pPr>
              <w:rPr>
                <w:sz w:val="22"/>
                <w:szCs w:val="22"/>
              </w:rPr>
            </w:pPr>
          </w:p>
          <w:p w14:paraId="1B5EEE52" w14:textId="77777777" w:rsidR="007B3A3D" w:rsidRPr="009D07C7" w:rsidRDefault="007B3A3D" w:rsidP="007B3A3D">
            <w:pPr>
              <w:pStyle w:val="Default"/>
              <w:jc w:val="both"/>
              <w:rPr>
                <w:rFonts w:ascii="Times New Roman" w:hAnsi="Times New Roman" w:cs="Times New Roman"/>
                <w:color w:val="auto"/>
                <w:sz w:val="22"/>
                <w:szCs w:val="22"/>
              </w:rPr>
            </w:pPr>
          </w:p>
        </w:tc>
        <w:tc>
          <w:tcPr>
            <w:tcW w:w="2086" w:type="pct"/>
            <w:gridSpan w:val="2"/>
            <w:tcBorders>
              <w:bottom w:val="single" w:sz="4" w:space="0" w:color="auto"/>
            </w:tcBorders>
          </w:tcPr>
          <w:p w14:paraId="23E9882D" w14:textId="77777777" w:rsidR="007B3A3D" w:rsidRPr="005A3128" w:rsidRDefault="007B3A3D" w:rsidP="007B3A3D">
            <w:pPr>
              <w:jc w:val="both"/>
              <w:rPr>
                <w:sz w:val="22"/>
                <w:szCs w:val="22"/>
              </w:rPr>
            </w:pPr>
            <w:r w:rsidRPr="005A3128">
              <w:rPr>
                <w:sz w:val="22"/>
                <w:szCs w:val="22"/>
              </w:rPr>
              <w:t xml:space="preserve">Infrastruktūras atsevišķas daļas īpašumtiesību veida maiņa: </w:t>
            </w:r>
          </w:p>
          <w:p w14:paraId="5119DC4C" w14:textId="77777777" w:rsidR="007B3A3D" w:rsidRPr="005A3128" w:rsidRDefault="007B3A3D" w:rsidP="007B3A3D">
            <w:pPr>
              <w:pStyle w:val="ListParagraph"/>
              <w:ind w:left="159"/>
              <w:jc w:val="both"/>
              <w:rPr>
                <w:i/>
                <w:sz w:val="22"/>
              </w:rPr>
            </w:pPr>
            <w:r w:rsidRPr="005A3128">
              <w:rPr>
                <w:i/>
                <w:sz w:val="22"/>
              </w:rPr>
              <w:t>Tās ir jebkuras izmaiņas īpašuma tiesiskajā statusā, kuras var novest pie tā, ka lieta neatradīsies atbalsta saņēmēja valdījumā, vai jebkādā citā veidā tiks kavētas atbalsta saņēmēja iespējas lietu izmantot.</w:t>
            </w:r>
          </w:p>
          <w:p w14:paraId="6825210E" w14:textId="77777777" w:rsidR="007B3A3D" w:rsidRPr="005A3128" w:rsidRDefault="007B3A3D" w:rsidP="007B3A3D">
            <w:pPr>
              <w:pStyle w:val="ListParagraph"/>
              <w:ind w:left="159"/>
              <w:jc w:val="both"/>
              <w:rPr>
                <w:i/>
                <w:sz w:val="22"/>
              </w:rPr>
            </w:pPr>
            <w:r w:rsidRPr="005A3128">
              <w:rPr>
                <w:i/>
                <w:sz w:val="22"/>
              </w:rPr>
              <w:t>Tā, piemēram, jēdziens attiecas uz lietas pārdošanu, aizdošanu, dāvinājumu, patapinājumu, maiņu, ieķīlāšanu, iznīcināšanu, izmešanu vai jebkuru atsavināšanas veidu. Tāpat īpašumtiesību veida maiņa aptvers arī gadījumus, kad atbalsta saņēmējs paliek lietas īpašnieks, bet lietas valdījums tiek nodots citai personai, piemēram, lietu iznomājot, izīrējot vai patapinot.</w:t>
            </w:r>
          </w:p>
          <w:p w14:paraId="737200EE" w14:textId="77777777" w:rsidR="007B3A3D" w:rsidRPr="005A3128" w:rsidRDefault="007B3A3D" w:rsidP="007B3A3D">
            <w:pPr>
              <w:pStyle w:val="ListParagraph"/>
              <w:jc w:val="both"/>
              <w:rPr>
                <w:sz w:val="22"/>
              </w:rPr>
            </w:pPr>
          </w:p>
          <w:p w14:paraId="779AAB69" w14:textId="45941474" w:rsidR="007B3A3D" w:rsidRPr="005A3128" w:rsidRDefault="007B3A3D" w:rsidP="007B3A3D">
            <w:pPr>
              <w:jc w:val="both"/>
              <w:rPr>
                <w:sz w:val="22"/>
                <w:szCs w:val="22"/>
              </w:rPr>
            </w:pPr>
            <w:r w:rsidRPr="005A3128">
              <w:rPr>
                <w:sz w:val="22"/>
                <w:szCs w:val="22"/>
              </w:rPr>
              <w:t>Izbeigta atbalsta saņēmēja produktīvā darbība:</w:t>
            </w:r>
          </w:p>
          <w:p w14:paraId="03AECC37" w14:textId="77777777" w:rsidR="007B3A3D" w:rsidRPr="005A3128" w:rsidRDefault="007B3A3D" w:rsidP="007B3A3D">
            <w:pPr>
              <w:pStyle w:val="ListParagraph"/>
              <w:ind w:left="159"/>
              <w:jc w:val="both"/>
              <w:rPr>
                <w:i/>
                <w:sz w:val="22"/>
              </w:rPr>
            </w:pPr>
            <w:r w:rsidRPr="005A3128">
              <w:rPr>
                <w:i/>
                <w:sz w:val="22"/>
              </w:rPr>
              <w:t xml:space="preserve">Tā ir jebkura situācija, kurā atbalsta saņēmējs pārtrauc fondu atbalsta līgumā paredzētās projekta aktivitātes. </w:t>
            </w:r>
          </w:p>
          <w:p w14:paraId="63DD1133" w14:textId="47B53BE8" w:rsidR="007B3A3D" w:rsidRPr="005A3128" w:rsidRDefault="007B3A3D" w:rsidP="007B3A3D">
            <w:pPr>
              <w:pStyle w:val="ListParagraph"/>
              <w:ind w:left="159"/>
              <w:jc w:val="both"/>
              <w:rPr>
                <w:i/>
                <w:sz w:val="22"/>
              </w:rPr>
            </w:pPr>
            <w:r w:rsidRPr="005A3128">
              <w:rPr>
                <w:i/>
                <w:sz w:val="22"/>
              </w:rPr>
              <w:t xml:space="preserve">Tā, piemēram, produktīvā darbība tiek izbeigta, ja uzņēmums tiek likvidēts, tiek slēgta atsevišķa ražotne, vai arī atbalstāmā projekta aktivitātes tiek izbeigtas jebkura cita iemesla dēļ. </w:t>
            </w:r>
          </w:p>
          <w:p w14:paraId="32E9CCB6" w14:textId="2B8879AB" w:rsidR="007B3A3D" w:rsidRPr="005A3128" w:rsidRDefault="007B3A3D" w:rsidP="007B3A3D">
            <w:pPr>
              <w:pStyle w:val="ListParagraph"/>
              <w:ind w:left="159"/>
              <w:jc w:val="both"/>
              <w:rPr>
                <w:i/>
                <w:sz w:val="22"/>
              </w:rPr>
            </w:pPr>
            <w:r w:rsidRPr="005A3128">
              <w:rPr>
                <w:i/>
                <w:sz w:val="22"/>
              </w:rPr>
              <w:t xml:space="preserve">Tāpat par produktīvās darbības izbeigšanu ir uzskatāma uzņēmuma pārvietošana. Pārvietošana attiecas uz gadījumiem, kad vienlaicīgi vai īsā laika periodā izpildās šādi nosacījumi: </w:t>
            </w:r>
          </w:p>
          <w:p w14:paraId="4E5F2D45" w14:textId="77777777" w:rsidR="007B3A3D" w:rsidRPr="005A3128" w:rsidRDefault="007B3A3D" w:rsidP="007B3A3D">
            <w:pPr>
              <w:pStyle w:val="ListParagraph"/>
              <w:ind w:left="300"/>
              <w:jc w:val="both"/>
              <w:rPr>
                <w:i/>
                <w:sz w:val="22"/>
              </w:rPr>
            </w:pPr>
            <w:r w:rsidRPr="005A3128">
              <w:rPr>
                <w:i/>
                <w:sz w:val="22"/>
              </w:rPr>
              <w:t xml:space="preserve">- ražošanas vietas vai uzņēmuma struktūrvienības slēgšana, </w:t>
            </w:r>
          </w:p>
          <w:p w14:paraId="34589106" w14:textId="77777777" w:rsidR="007B3A3D" w:rsidRPr="005A3128" w:rsidRDefault="007B3A3D" w:rsidP="007B3A3D">
            <w:pPr>
              <w:pStyle w:val="ListParagraph"/>
              <w:ind w:left="300"/>
              <w:jc w:val="both"/>
              <w:rPr>
                <w:i/>
                <w:sz w:val="22"/>
              </w:rPr>
            </w:pPr>
            <w:r w:rsidRPr="005A3128">
              <w:rPr>
                <w:i/>
                <w:sz w:val="22"/>
              </w:rPr>
              <w:t xml:space="preserve">- ražotnes pārvietošana uz citu vietu, kas pieder tam pašam uzņēmumam, bet ir izvietota citā ekonomiskā vienībā (citā valstī vai citā administratīvajā teritorijā tās pašas valsts iekšienē, uz kuru attiecas atšķirīgi atbalsta nosacījumi). </w:t>
            </w:r>
          </w:p>
          <w:p w14:paraId="44C06EAB" w14:textId="77777777" w:rsidR="007B3A3D" w:rsidRPr="005A3128" w:rsidRDefault="007B3A3D" w:rsidP="007B3A3D">
            <w:pPr>
              <w:pStyle w:val="ListParagraph"/>
              <w:ind w:left="159"/>
              <w:rPr>
                <w:sz w:val="22"/>
              </w:rPr>
            </w:pPr>
          </w:p>
          <w:p w14:paraId="6BEBF0C1" w14:textId="77777777" w:rsidR="007B3A3D" w:rsidRPr="005A3128" w:rsidRDefault="007B3A3D" w:rsidP="007B3A3D">
            <w:pPr>
              <w:pStyle w:val="Default"/>
              <w:jc w:val="both"/>
              <w:rPr>
                <w:rFonts w:ascii="Times New Roman" w:hAnsi="Times New Roman" w:cs="Times New Roman"/>
                <w:i/>
                <w:color w:val="auto"/>
                <w:sz w:val="22"/>
                <w:szCs w:val="22"/>
              </w:rPr>
            </w:pPr>
            <w:r w:rsidRPr="005A3128">
              <w:rPr>
                <w:rFonts w:ascii="Times New Roman" w:hAnsi="Times New Roman" w:cs="Times New Roman"/>
                <w:i/>
                <w:color w:val="auto"/>
                <w:sz w:val="22"/>
                <w:szCs w:val="22"/>
              </w:rPr>
              <w:t>Piemēri:</w:t>
            </w:r>
          </w:p>
          <w:p w14:paraId="7DAEC175" w14:textId="5C6C7A87" w:rsidR="007B3A3D" w:rsidRPr="005A3128" w:rsidRDefault="007B3A3D" w:rsidP="007B3A3D">
            <w:pPr>
              <w:pStyle w:val="Default"/>
              <w:numPr>
                <w:ilvl w:val="0"/>
                <w:numId w:val="18"/>
              </w:numPr>
              <w:ind w:left="150" w:hanging="142"/>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Uzņēmums X ir saņēmis ES fondu līdzfinansējumu ar intensitāti 60% jeb 60 000 EUR apmērā bērnudārza ēkas rekonstrukcijai par kopējo summu 100 000 EUR. Četrus gadus pēc ES fondu līdzfinansējuma saņemšanas uzņēmums tiek likvidēts. Tā kā uzņēmuma likvidācija ir būtiska pārmaiņa, tad no uzņēmuma tiek piedzīts viss tam izmaksātais ES fondu līdzfinansējums 60 000 EUR apmērā.</w:t>
            </w:r>
          </w:p>
          <w:p w14:paraId="3440906D" w14:textId="77777777" w:rsidR="007B3A3D" w:rsidRPr="005A3128" w:rsidRDefault="007B3A3D" w:rsidP="007B3A3D">
            <w:pPr>
              <w:pStyle w:val="Default"/>
              <w:jc w:val="both"/>
              <w:rPr>
                <w:rFonts w:ascii="Times New Roman" w:hAnsi="Times New Roman" w:cs="Times New Roman"/>
                <w:color w:val="auto"/>
                <w:sz w:val="22"/>
                <w:szCs w:val="22"/>
              </w:rPr>
            </w:pPr>
          </w:p>
          <w:p w14:paraId="32B25071" w14:textId="59171316" w:rsidR="007B3A3D" w:rsidRPr="005A3128" w:rsidRDefault="007B3A3D" w:rsidP="007B3A3D">
            <w:pPr>
              <w:pStyle w:val="Default"/>
              <w:ind w:left="150"/>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SIA „Latvijas Saldumiņš” ir saņēmis ES fondu līdzfinansējumu ar atbalsta intensitāti 60% jeb 600 000 EUR apmērā, lai dažādotu ražošanu, ietverot ne tika šokolādes, bet arī konditorejas izstrādājumu ražošanu. Atbalsts paredzēts konditorejas iekārtu iegādei 1 000 000 EUR apmērā, kuras nepieciešamas jaunā konditorejas ceha darbībai. Divus gadus pēc ES fondu līdzfinansējuma saņemšanas uzņēmums nolemj jauno konditorejas cehu pārcelt uz Ukrainu, pamatojot to ar lētākām ražošanas izmaksām. Šajā gadījumā ir iestājušās būtiskās pārmaiņas, jo uzņēmums ir pārtraucis savu produktīvo darbību valstī, kurai ir piešķirts attiecīgais ES fondu atbalsts, tādēļ SIA „Latvijas Saldumiņš” ir jāatmaksā viss tam piešķirtais ES fondu finansējums 600 000 EUR apmērā.</w:t>
            </w:r>
          </w:p>
          <w:p w14:paraId="7DC4CDF2" w14:textId="77777777" w:rsidR="007B3A3D" w:rsidRPr="005A3128" w:rsidRDefault="007B3A3D" w:rsidP="007B3A3D">
            <w:pPr>
              <w:pStyle w:val="Default"/>
              <w:jc w:val="both"/>
              <w:rPr>
                <w:rFonts w:ascii="Times New Roman" w:hAnsi="Times New Roman" w:cs="Times New Roman"/>
                <w:color w:val="auto"/>
                <w:sz w:val="22"/>
                <w:szCs w:val="22"/>
              </w:rPr>
            </w:pPr>
          </w:p>
          <w:p w14:paraId="021DC763" w14:textId="77777777" w:rsidR="007B3A3D" w:rsidRPr="005A3128" w:rsidRDefault="007B3A3D" w:rsidP="007B3A3D">
            <w:pPr>
              <w:pStyle w:val="Default"/>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Izņēmums – darbības pārtraukšana uz laiku:</w:t>
            </w:r>
          </w:p>
          <w:p w14:paraId="4B76C7DA" w14:textId="0445664A" w:rsidR="007B3A3D" w:rsidRPr="005A3128" w:rsidRDefault="007B3A3D" w:rsidP="007B3A3D">
            <w:pPr>
              <w:pStyle w:val="Default"/>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 xml:space="preserve">SIA „Latvijas Saldumiņš” ir saņēmis ES fondu līdzfinansējumu ar intensitāti 60% jeb 600 000 EUR apmērā, lai dažādotu ražošanu, ietverot ne tika šokolādes, bet arī konditorejas izstrādājumu ražošanu. Atbalsts paredzēts konditorejas iekārtu iegādei 1 000 000 EUR apmērā, kuras nepieciešamas jaunā konditorejas ceha darbībai. Divus gadus pēc ES fondu līdzfinansējuma saņemšanas tirgū strauji samazinās pieprasījums pēc šokolādes un konditorejas izstrādājumiem, un uzņēmums nolemj uz sešiem mēnešiem pārtraukt ražošanu. Šajā gadījumā ir iestājušās būtiskās pārmaiņas, jo tiek ietekmēta darbības būtība un īstenošanas nosacījumi. Gadījumā, ja uzņēmums pārtrauc darbību laika periodā līdz </w:t>
            </w:r>
            <w:r w:rsidR="007B1A2A">
              <w:rPr>
                <w:rFonts w:ascii="Times New Roman" w:hAnsi="Times New Roman" w:cs="Times New Roman"/>
                <w:color w:val="auto"/>
                <w:sz w:val="22"/>
                <w:szCs w:val="22"/>
              </w:rPr>
              <w:t>vienam</w:t>
            </w:r>
            <w:r w:rsidRPr="005A3128">
              <w:rPr>
                <w:rFonts w:ascii="Times New Roman" w:hAnsi="Times New Roman" w:cs="Times New Roman"/>
                <w:color w:val="auto"/>
                <w:sz w:val="22"/>
                <w:szCs w:val="22"/>
              </w:rPr>
              <w:t xml:space="preserve"> gadam, piemēro finanšu korekciju 5% apmērā. Ja šis periods ir ilgāks kā </w:t>
            </w:r>
            <w:r w:rsidR="007B1A2A">
              <w:rPr>
                <w:rFonts w:ascii="Times New Roman" w:hAnsi="Times New Roman" w:cs="Times New Roman"/>
                <w:color w:val="auto"/>
                <w:sz w:val="22"/>
                <w:szCs w:val="22"/>
              </w:rPr>
              <w:t>viens</w:t>
            </w:r>
            <w:r w:rsidRPr="005A3128">
              <w:rPr>
                <w:rFonts w:ascii="Times New Roman" w:hAnsi="Times New Roman" w:cs="Times New Roman"/>
                <w:color w:val="auto"/>
                <w:sz w:val="22"/>
                <w:szCs w:val="22"/>
              </w:rPr>
              <w:t xml:space="preserve"> gads, tad piemēro proporcionālo finanšu korekciju atbilstoši dīkstāves laikam. </w:t>
            </w:r>
          </w:p>
          <w:p w14:paraId="26DDDA74" w14:textId="77777777" w:rsidR="007B3A3D" w:rsidRPr="005A3128" w:rsidRDefault="007B3A3D" w:rsidP="007B3A3D">
            <w:pPr>
              <w:pStyle w:val="Default"/>
              <w:jc w:val="both"/>
              <w:rPr>
                <w:rFonts w:ascii="Times New Roman" w:hAnsi="Times New Roman" w:cs="Times New Roman"/>
                <w:color w:val="auto"/>
                <w:sz w:val="22"/>
                <w:szCs w:val="22"/>
              </w:rPr>
            </w:pPr>
          </w:p>
          <w:p w14:paraId="28125FF8" w14:textId="77777777" w:rsidR="007B3A3D" w:rsidRPr="005A3128" w:rsidRDefault="007B3A3D" w:rsidP="007B3A3D">
            <w:pPr>
              <w:pStyle w:val="Default"/>
              <w:jc w:val="both"/>
              <w:rPr>
                <w:rFonts w:ascii="Times New Roman" w:hAnsi="Times New Roman"/>
                <w:sz w:val="22"/>
                <w:szCs w:val="22"/>
              </w:rPr>
            </w:pPr>
            <w:r w:rsidRPr="005A3128">
              <w:rPr>
                <w:rFonts w:ascii="Times New Roman" w:hAnsi="Times New Roman"/>
                <w:sz w:val="22"/>
                <w:szCs w:val="22"/>
              </w:rPr>
              <w:t>Finanšu korekcija netiek piemērota, ja īpašuma maiņa tiek veikta ar saistību pārņemšanu, īpaši gadījumos, kad īpašums tiek nodots no valsts pašvaldībai un otrādi, ja tiek nodrošināts, ka projekta darbība tiek turpināta un netiek traucēta, kā arī tiek ievēroti līgumā noteiktie nosacījumi.</w:t>
            </w:r>
          </w:p>
          <w:p w14:paraId="63F8800A" w14:textId="77777777" w:rsidR="007B3A3D" w:rsidRPr="005A3128" w:rsidRDefault="007B3A3D" w:rsidP="007B3A3D">
            <w:pPr>
              <w:pStyle w:val="Default"/>
              <w:jc w:val="both"/>
              <w:rPr>
                <w:rFonts w:ascii="Times New Roman" w:hAnsi="Times New Roman" w:cs="Times New Roman"/>
                <w:color w:val="auto"/>
                <w:sz w:val="22"/>
                <w:szCs w:val="22"/>
              </w:rPr>
            </w:pPr>
          </w:p>
          <w:p w14:paraId="2F705760" w14:textId="50C45F0E" w:rsidR="007B3A3D" w:rsidRPr="005A3128" w:rsidRDefault="007B3A3D" w:rsidP="007B3A3D">
            <w:pPr>
              <w:pStyle w:val="Default"/>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c) Attiecībā uz projektā paredzētajām iekārtām var būt gadījumi, kad attiecībā uz pašām iekārtām ir iestājušās būtiskas pārmaiņas, bet tās nav ietekmējušas projekta mērķi vai arī viss ES fondu atbalsts netika novirzīts iekārtu iegādei. Tādos gadījumos atbilstoši SIA „Dea Baltika</w:t>
            </w:r>
            <w:r w:rsidRPr="005A3128">
              <w:rPr>
                <w:rStyle w:val="FootnoteReference"/>
                <w:rFonts w:ascii="Times New Roman" w:hAnsi="Times New Roman" w:cs="Times New Roman"/>
                <w:color w:val="auto"/>
                <w:sz w:val="22"/>
                <w:szCs w:val="22"/>
              </w:rPr>
              <w:footnoteReference w:id="5"/>
            </w:r>
            <w:r w:rsidRPr="005A3128">
              <w:rPr>
                <w:rFonts w:ascii="Times New Roman" w:hAnsi="Times New Roman" w:cs="Times New Roman"/>
                <w:color w:val="auto"/>
                <w:sz w:val="22"/>
                <w:szCs w:val="22"/>
              </w:rPr>
              <w:t xml:space="preserve">” metodikai par būtiskām pārmaiņām aicinām izmantot formulu, kur atmaksājamo ES fondu līdzfinansējumu veido kopsumma no: </w:t>
            </w:r>
          </w:p>
          <w:p w14:paraId="03D4DB17" w14:textId="2B3246E6" w:rsidR="007B3A3D" w:rsidRPr="005A3128" w:rsidRDefault="007B3A3D" w:rsidP="007B3A3D">
            <w:pPr>
              <w:pStyle w:val="Default"/>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 xml:space="preserve">      (1) lietas(-tu), uz kurām ir attiecināmas būtiskas pārmaiņas, cenas saskaņā ar preču pavadzīmi-rēķinu tās iegādes brīdī bez pievienotās vērtības nodokļa (PVN), ja tas projektā ir bijis iekļauts kā neattiecināmā izmaksa, un ar PVN, ja tas ir bijis iekļauts kā attiecināmā izmaksa, un </w:t>
            </w:r>
          </w:p>
          <w:p w14:paraId="17E5B356" w14:textId="0CD965F4" w:rsidR="007B3A3D" w:rsidRPr="005A3128" w:rsidRDefault="007B3A3D" w:rsidP="007B3A3D">
            <w:pPr>
              <w:pStyle w:val="Default"/>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 xml:space="preserve">      (2) ar lietas iegādi un lietošanu saistītām, projektā iekļautām attiecināmajām administratīvajām, īstenošanas un mērķauditorijas izmaksām, kas tiek aprēķinātas proporcionāli „būtiskās pārmaiņas” īpatsvaram savā budžeta kategorijā (piemēram, iekārtu iegāde), kam tiek piemērota līgumā ar atbalsta saņēmēju noteiktā ES fondu atbalsta intensitāte procentos.</w:t>
            </w:r>
          </w:p>
          <w:p w14:paraId="621DA3A3" w14:textId="77777777" w:rsidR="007B3A3D" w:rsidRPr="005A3128" w:rsidRDefault="007B3A3D" w:rsidP="007B3A3D">
            <w:pPr>
              <w:pStyle w:val="Default"/>
              <w:jc w:val="both"/>
              <w:rPr>
                <w:rFonts w:ascii="Times New Roman" w:hAnsi="Times New Roman" w:cs="Times New Roman"/>
                <w:i/>
                <w:color w:val="auto"/>
                <w:sz w:val="22"/>
                <w:szCs w:val="22"/>
              </w:rPr>
            </w:pPr>
          </w:p>
          <w:p w14:paraId="261B834D" w14:textId="77777777" w:rsidR="007B3A3D" w:rsidRPr="005A3128" w:rsidRDefault="007B3A3D" w:rsidP="007B3A3D">
            <w:pPr>
              <w:pStyle w:val="Default"/>
              <w:jc w:val="both"/>
              <w:rPr>
                <w:rFonts w:ascii="Times New Roman" w:hAnsi="Times New Roman" w:cs="Times New Roman"/>
                <w:i/>
                <w:color w:val="auto"/>
                <w:sz w:val="22"/>
                <w:szCs w:val="22"/>
              </w:rPr>
            </w:pPr>
            <w:r w:rsidRPr="005A3128">
              <w:rPr>
                <w:rFonts w:ascii="Times New Roman" w:hAnsi="Times New Roman" w:cs="Times New Roman"/>
                <w:i/>
                <w:color w:val="auto"/>
                <w:sz w:val="22"/>
                <w:szCs w:val="22"/>
              </w:rPr>
              <w:t>Piemērs:</w:t>
            </w:r>
          </w:p>
          <w:p w14:paraId="0888E7B5" w14:textId="77777777" w:rsidR="007B3A3D" w:rsidRPr="005A3128" w:rsidRDefault="007B3A3D" w:rsidP="007B3A3D">
            <w:pPr>
              <w:pStyle w:val="Default"/>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 xml:space="preserve">Uzņēmums X ir saņēmis ES fondu līdzfinansējumu ar atbalsta intensitāti 60% jeb 600 000 EUR apmērā jaudīgu ražošanas iekārtu iegādei par kopējo summu 1 000 000 EUR. </w:t>
            </w:r>
          </w:p>
          <w:p w14:paraId="072DD037" w14:textId="77777777" w:rsidR="007B3A3D" w:rsidRPr="005A3128" w:rsidRDefault="007B3A3D" w:rsidP="007B3A3D">
            <w:pPr>
              <w:pStyle w:val="Default"/>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No projekta kopējām izmaksām:</w:t>
            </w:r>
          </w:p>
          <w:p w14:paraId="03999012" w14:textId="77777777" w:rsidR="007B3A3D" w:rsidRPr="005A3128" w:rsidRDefault="007B3A3D" w:rsidP="007B3A3D">
            <w:pPr>
              <w:pStyle w:val="Default"/>
              <w:numPr>
                <w:ilvl w:val="0"/>
                <w:numId w:val="16"/>
              </w:numPr>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5% jeb 50 000 EUR paredzēti projekta administrēšanai,</w:t>
            </w:r>
          </w:p>
          <w:p w14:paraId="3538BDF5" w14:textId="77777777" w:rsidR="007B3A3D" w:rsidRPr="005A3128" w:rsidRDefault="007B3A3D" w:rsidP="007B3A3D">
            <w:pPr>
              <w:pStyle w:val="Default"/>
              <w:numPr>
                <w:ilvl w:val="0"/>
                <w:numId w:val="16"/>
              </w:numPr>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 xml:space="preserve">5% jeb 50 000 EUR – projekta publicitātes nodrošināšanai, </w:t>
            </w:r>
          </w:p>
          <w:p w14:paraId="5CDC3B6A" w14:textId="77777777" w:rsidR="007B3A3D" w:rsidRPr="005A3128" w:rsidRDefault="007B3A3D" w:rsidP="007B3A3D">
            <w:pPr>
              <w:pStyle w:val="Default"/>
              <w:numPr>
                <w:ilvl w:val="0"/>
                <w:numId w:val="16"/>
              </w:numPr>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bet 90% jeb 900 000 EUR – ražošanas iekārtu iegādei.</w:t>
            </w:r>
          </w:p>
          <w:p w14:paraId="07E0426E" w14:textId="77777777" w:rsidR="007B3A3D" w:rsidRPr="005A3128" w:rsidRDefault="007B3A3D" w:rsidP="007B3A3D">
            <w:pPr>
              <w:pStyle w:val="Default"/>
              <w:ind w:left="17"/>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 xml:space="preserve">Iesniedzot projektu ES fondu līdzfinansējuma piesaistei, uzņēmums X pamato, ka iegādātās iekārtas piecu gadu laikā ļaus dubultot ražošanas apjomus, kas tiek izvirzīts arī par vienu no projekta ilgtermiņa mērķiem. </w:t>
            </w:r>
          </w:p>
          <w:p w14:paraId="41611F2C" w14:textId="77777777" w:rsidR="007B3A3D" w:rsidRPr="005A3128" w:rsidRDefault="007B3A3D" w:rsidP="007B3A3D">
            <w:pPr>
              <w:pStyle w:val="Default"/>
              <w:ind w:left="17"/>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 xml:space="preserve">Divus gadus pēc ES fondu līdzfinansējuma saņemšanas atbalsta saņēmējs nolemj pārdot vienu no iegādātajām iekārtām, kura tika iepirkta par 500 000 EUR (300 000 EUR – ES fondu atbalsts un 200 000 EUR – komercsabiedrības līdzfinansējums). Uzņēmums iekārtu pārdod par tā brīža tirgus vērtību, kas ir 400 000 EUR un tās vietā iegādājas jaunu iekārtu par 350 000 EUR, kas saskaņā ar tehniskajām specifikācijām spēj nodrošināt tādus pašus ražošanas apjomus. </w:t>
            </w:r>
          </w:p>
          <w:p w14:paraId="45F5B114" w14:textId="77777777" w:rsidR="007B3A3D" w:rsidRPr="005A3128" w:rsidRDefault="007B3A3D" w:rsidP="007B3A3D">
            <w:pPr>
              <w:pStyle w:val="Default"/>
              <w:ind w:left="17"/>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 xml:space="preserve">Šo divu gadu laikā uzņēmuma ražošanas apjoms ir pieaudzis par 100%, un pieaugums saglabāsies plānotajā apmērā arī pēc vecās iekārtas pārdošanas un jaunās iekārtas iegādes. </w:t>
            </w:r>
          </w:p>
          <w:p w14:paraId="7D971AC9" w14:textId="77777777" w:rsidR="007B3A3D" w:rsidRPr="005A3128" w:rsidRDefault="007B3A3D" w:rsidP="007B3A3D">
            <w:pPr>
              <w:pStyle w:val="Default"/>
              <w:ind w:left="17"/>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Šajā gadījumā ir iestājušās būtiskas pārmaiņas, jo, lai arī iekārtu pārdošana nav ietekmējusi darbības būtību – ar jauno iekārtu tiks nodrošināts plānotais ražošanas pieaugums, tomēr vecās iekārtas pārdošana un jaunas iekārtas iegāde ir radījusi nepamatotas priekšrocības ES finansējuma saņēmējam, kurš uz pirkšanas un pārdošanas rēķina ir ieguvis 50 000 EUR, tāpēc uzņēmumam X ir jāatmaksā ar iekārtas iegādi saistītais ES fondu finansējums, kuru saskaņā ar formulu aprēķina šādi: (500 000 EUR + ((500 000 EUR x100%)/900 000 EUR) x 100 000 EUR) x 60% = 333 333,33 EUR.</w:t>
            </w:r>
          </w:p>
          <w:p w14:paraId="28EB9F03" w14:textId="77777777" w:rsidR="007B3A3D" w:rsidRPr="005A3128" w:rsidRDefault="007B3A3D" w:rsidP="007B3A3D">
            <w:pPr>
              <w:pStyle w:val="Default"/>
              <w:jc w:val="both"/>
              <w:rPr>
                <w:sz w:val="22"/>
                <w:szCs w:val="22"/>
              </w:rPr>
            </w:pPr>
          </w:p>
        </w:tc>
        <w:tc>
          <w:tcPr>
            <w:tcW w:w="912" w:type="pct"/>
            <w:tcBorders>
              <w:bottom w:val="single" w:sz="4" w:space="0" w:color="auto"/>
            </w:tcBorders>
          </w:tcPr>
          <w:p w14:paraId="026749CA" w14:textId="77777777" w:rsidR="007B3A3D" w:rsidRPr="005A3128" w:rsidRDefault="007B3A3D" w:rsidP="007B3A3D">
            <w:pPr>
              <w:jc w:val="center"/>
              <w:rPr>
                <w:sz w:val="22"/>
                <w:szCs w:val="22"/>
              </w:rPr>
            </w:pPr>
          </w:p>
          <w:p w14:paraId="4F867D55" w14:textId="77777777" w:rsidR="007B3A3D" w:rsidRPr="005A3128" w:rsidRDefault="007B3A3D" w:rsidP="007B3A3D">
            <w:pPr>
              <w:pStyle w:val="ListParagraph"/>
              <w:numPr>
                <w:ilvl w:val="0"/>
                <w:numId w:val="6"/>
              </w:numPr>
              <w:tabs>
                <w:tab w:val="clear" w:pos="720"/>
                <w:tab w:val="num" w:pos="451"/>
              </w:tabs>
              <w:ind w:hanging="720"/>
              <w:rPr>
                <w:sz w:val="22"/>
              </w:rPr>
            </w:pPr>
            <w:r w:rsidRPr="005A3128">
              <w:rPr>
                <w:sz w:val="22"/>
              </w:rPr>
              <w:t>100%;</w:t>
            </w:r>
          </w:p>
          <w:p w14:paraId="75831380" w14:textId="77777777" w:rsidR="007B3A3D" w:rsidRPr="005A3128" w:rsidRDefault="007B3A3D" w:rsidP="007B3A3D">
            <w:pPr>
              <w:pStyle w:val="ListParagraph"/>
              <w:rPr>
                <w:sz w:val="22"/>
              </w:rPr>
            </w:pPr>
          </w:p>
          <w:p w14:paraId="408FFC60" w14:textId="77777777" w:rsidR="007B3A3D" w:rsidRPr="005A3128" w:rsidRDefault="007B3A3D" w:rsidP="007B3A3D">
            <w:pPr>
              <w:pStyle w:val="ListParagraph"/>
              <w:numPr>
                <w:ilvl w:val="0"/>
                <w:numId w:val="6"/>
              </w:numPr>
              <w:tabs>
                <w:tab w:val="clear" w:pos="720"/>
                <w:tab w:val="num" w:pos="451"/>
              </w:tabs>
              <w:ind w:hanging="720"/>
              <w:rPr>
                <w:sz w:val="22"/>
              </w:rPr>
            </w:pPr>
            <w:r w:rsidRPr="005A3128">
              <w:rPr>
                <w:sz w:val="22"/>
              </w:rPr>
              <w:t xml:space="preserve">Ja līdzekļi atsavināti </w:t>
            </w:r>
          </w:p>
          <w:p w14:paraId="6ED1D7D9" w14:textId="77777777" w:rsidR="007B3A3D" w:rsidRPr="005A3128" w:rsidRDefault="007B3A3D" w:rsidP="007B3A3D">
            <w:pPr>
              <w:pStyle w:val="ListParagraph"/>
              <w:numPr>
                <w:ilvl w:val="0"/>
                <w:numId w:val="14"/>
              </w:numPr>
              <w:ind w:left="451" w:hanging="141"/>
              <w:rPr>
                <w:sz w:val="22"/>
              </w:rPr>
            </w:pPr>
            <w:r w:rsidRPr="005A3128">
              <w:rPr>
                <w:sz w:val="22"/>
              </w:rPr>
              <w:t>pirmo trīs gadu laikā 100%;</w:t>
            </w:r>
          </w:p>
          <w:p w14:paraId="03528C08" w14:textId="77777777" w:rsidR="007B3A3D" w:rsidRPr="005A3128" w:rsidRDefault="007B3A3D" w:rsidP="007B3A3D">
            <w:pPr>
              <w:pStyle w:val="ListParagraph"/>
              <w:numPr>
                <w:ilvl w:val="0"/>
                <w:numId w:val="14"/>
              </w:numPr>
              <w:ind w:left="451" w:hanging="141"/>
              <w:rPr>
                <w:sz w:val="22"/>
              </w:rPr>
            </w:pPr>
            <w:r w:rsidRPr="005A3128">
              <w:rPr>
                <w:sz w:val="22"/>
              </w:rPr>
              <w:t>Ceturtajā gadā – 40%;</w:t>
            </w:r>
          </w:p>
          <w:p w14:paraId="10D2CD79" w14:textId="77777777" w:rsidR="007B3A3D" w:rsidRPr="005A3128" w:rsidRDefault="007B3A3D" w:rsidP="007B3A3D">
            <w:pPr>
              <w:pStyle w:val="ListParagraph"/>
              <w:numPr>
                <w:ilvl w:val="0"/>
                <w:numId w:val="14"/>
              </w:numPr>
              <w:ind w:left="451" w:hanging="141"/>
              <w:rPr>
                <w:sz w:val="22"/>
              </w:rPr>
            </w:pPr>
            <w:r w:rsidRPr="005A3128">
              <w:rPr>
                <w:sz w:val="22"/>
              </w:rPr>
              <w:t>Piektajā gadā – 20%</w:t>
            </w:r>
          </w:p>
          <w:p w14:paraId="02216824" w14:textId="77777777" w:rsidR="007B3A3D" w:rsidRPr="005A3128" w:rsidRDefault="007B3A3D" w:rsidP="007B3A3D">
            <w:pPr>
              <w:jc w:val="center"/>
              <w:rPr>
                <w:sz w:val="22"/>
                <w:szCs w:val="22"/>
                <w:highlight w:val="yellow"/>
              </w:rPr>
            </w:pPr>
          </w:p>
          <w:p w14:paraId="56A4D4A4" w14:textId="6A5A7927" w:rsidR="007B3A3D" w:rsidRPr="005A3128" w:rsidRDefault="005A3128" w:rsidP="007B3A3D">
            <w:pPr>
              <w:numPr>
                <w:ilvl w:val="0"/>
                <w:numId w:val="6"/>
              </w:numPr>
              <w:tabs>
                <w:tab w:val="clear" w:pos="720"/>
                <w:tab w:val="left" w:pos="217"/>
              </w:tabs>
              <w:ind w:left="26" w:firstLine="0"/>
              <w:rPr>
                <w:rFonts w:cs="EUAlbertina"/>
                <w:b/>
                <w:sz w:val="22"/>
                <w:szCs w:val="22"/>
              </w:rPr>
            </w:pPr>
            <w:r>
              <w:rPr>
                <w:sz w:val="22"/>
                <w:szCs w:val="22"/>
              </w:rPr>
              <w:t xml:space="preserve"> </w:t>
            </w:r>
            <w:r w:rsidR="007B3A3D" w:rsidRPr="005A3128">
              <w:rPr>
                <w:sz w:val="22"/>
                <w:szCs w:val="22"/>
              </w:rPr>
              <w:t>Pēc formulas:</w:t>
            </w:r>
          </w:p>
          <w:p w14:paraId="0C7E6DD4" w14:textId="77777777" w:rsidR="007B3A3D" w:rsidRPr="005A3128" w:rsidRDefault="007B3A3D" w:rsidP="007B3A3D">
            <w:pPr>
              <w:pStyle w:val="Default"/>
              <w:jc w:val="both"/>
              <w:rPr>
                <w:rFonts w:ascii="Times New Roman" w:hAnsi="Times New Roman" w:cs="Times New Roman"/>
                <w:color w:val="auto"/>
                <w:sz w:val="22"/>
                <w:szCs w:val="22"/>
              </w:rPr>
            </w:pPr>
            <w:r w:rsidRPr="005A3128">
              <w:rPr>
                <w:rFonts w:ascii="Times New Roman" w:hAnsi="Times New Roman" w:cs="Times New Roman"/>
                <w:color w:val="auto"/>
                <w:sz w:val="22"/>
                <w:szCs w:val="22"/>
              </w:rPr>
              <w:t>Atmaksājamais ES fondu finansējums = (cena + ((cena x 100%)/attiecīgās budžeta kategorijas kopsumma) x citas projekta izmaksas) x atbalsta intensitāte %</w:t>
            </w:r>
          </w:p>
          <w:p w14:paraId="45331FF5" w14:textId="77777777" w:rsidR="007B3A3D" w:rsidRPr="005A3128" w:rsidRDefault="007B3A3D" w:rsidP="007B3A3D">
            <w:pPr>
              <w:jc w:val="center"/>
              <w:rPr>
                <w:sz w:val="22"/>
                <w:szCs w:val="22"/>
              </w:rPr>
            </w:pPr>
          </w:p>
        </w:tc>
      </w:tr>
      <w:tr w:rsidR="00DD563F" w:rsidRPr="009D07C7" w14:paraId="625B4037" w14:textId="77777777" w:rsidTr="009B643B">
        <w:tc>
          <w:tcPr>
            <w:tcW w:w="276" w:type="pct"/>
            <w:tcBorders>
              <w:bottom w:val="single" w:sz="4" w:space="0" w:color="auto"/>
            </w:tcBorders>
          </w:tcPr>
          <w:p w14:paraId="0CFF1DDA" w14:textId="77777777" w:rsidR="00DD563F" w:rsidRPr="009D07C7" w:rsidRDefault="00DD563F" w:rsidP="00E65D59">
            <w:pPr>
              <w:numPr>
                <w:ilvl w:val="0"/>
                <w:numId w:val="1"/>
              </w:numPr>
              <w:rPr>
                <w:sz w:val="22"/>
                <w:szCs w:val="22"/>
              </w:rPr>
            </w:pPr>
          </w:p>
        </w:tc>
        <w:tc>
          <w:tcPr>
            <w:tcW w:w="1726" w:type="pct"/>
            <w:tcBorders>
              <w:bottom w:val="single" w:sz="4" w:space="0" w:color="auto"/>
            </w:tcBorders>
          </w:tcPr>
          <w:p w14:paraId="14EE80D6" w14:textId="77777777" w:rsidR="007754BF" w:rsidRPr="00654481" w:rsidRDefault="007754BF" w:rsidP="007754BF">
            <w:pPr>
              <w:rPr>
                <w:b/>
                <w:sz w:val="22"/>
                <w:szCs w:val="22"/>
              </w:rPr>
            </w:pPr>
            <w:r w:rsidRPr="00654481">
              <w:rPr>
                <w:b/>
                <w:sz w:val="22"/>
                <w:szCs w:val="22"/>
              </w:rPr>
              <w:t>Horizontālo pr</w:t>
            </w:r>
            <w:r>
              <w:rPr>
                <w:b/>
                <w:sz w:val="22"/>
                <w:szCs w:val="22"/>
              </w:rPr>
              <w:t>incipu</w:t>
            </w:r>
            <w:r w:rsidRPr="00654481">
              <w:rPr>
                <w:b/>
                <w:sz w:val="22"/>
                <w:szCs w:val="22"/>
              </w:rPr>
              <w:t xml:space="preserve"> vai citu kvalitātes kritēriju neizpilde:</w:t>
            </w:r>
            <w:r>
              <w:t xml:space="preserve"> </w:t>
            </w:r>
          </w:p>
          <w:p w14:paraId="678B94CD" w14:textId="77777777" w:rsidR="00B9198B" w:rsidRPr="00B9198B" w:rsidRDefault="00B9198B" w:rsidP="00B9198B">
            <w:pPr>
              <w:pStyle w:val="Text3"/>
              <w:snapToGrid w:val="0"/>
              <w:ind w:left="35"/>
              <w:rPr>
                <w:sz w:val="22"/>
                <w:szCs w:val="22"/>
                <w:lang w:val="lv-LV"/>
              </w:rPr>
            </w:pPr>
            <w:r w:rsidRPr="00B9198B">
              <w:rPr>
                <w:sz w:val="22"/>
                <w:szCs w:val="22"/>
                <w:lang w:val="lv-LV"/>
              </w:rPr>
              <w:t>a) projektā ar tiešu pozitīvu ietekmi uz horizontālo principu “Vienlīdzīgas iespējas” ir plānotas specifiskas darbības horizontālā principa nodrošināšanai. Projektu iesniegumu vērtēšanas procesā tika piemērots specifiskais atbilstības kritērijs, kura neizpildes gadījumā projekta iesniegums būtu noraidāms. Ja horizontālā principa kritērijs ir bijis kā noteicošais, lai projekts varētu tikt apstiprināts, tad piemēro 100% korekciju visam projekta apjomam.</w:t>
            </w:r>
          </w:p>
          <w:p w14:paraId="70D858C8" w14:textId="77777777" w:rsidR="00B9198B" w:rsidRPr="00B9198B" w:rsidRDefault="00B9198B" w:rsidP="00B9198B">
            <w:pPr>
              <w:pStyle w:val="Text3"/>
              <w:snapToGrid w:val="0"/>
              <w:ind w:left="35"/>
              <w:rPr>
                <w:sz w:val="22"/>
                <w:szCs w:val="22"/>
                <w:lang w:val="lv-LV"/>
              </w:rPr>
            </w:pPr>
          </w:p>
          <w:p w14:paraId="36D2E878" w14:textId="77777777" w:rsidR="00B9198B" w:rsidRPr="00B9198B" w:rsidRDefault="00B9198B" w:rsidP="00B9198B">
            <w:pPr>
              <w:pStyle w:val="Text3"/>
              <w:snapToGrid w:val="0"/>
              <w:ind w:left="35"/>
              <w:rPr>
                <w:i/>
                <w:sz w:val="22"/>
                <w:szCs w:val="22"/>
                <w:lang w:val="lv-LV"/>
              </w:rPr>
            </w:pPr>
            <w:r w:rsidRPr="00B9198B">
              <w:rPr>
                <w:i/>
                <w:sz w:val="22"/>
                <w:szCs w:val="22"/>
                <w:lang w:val="lv-LV"/>
              </w:rPr>
              <w:t xml:space="preserve">Aprēķins: Projekta apjoms ir 10 000 EUR. Korekcija visam projekta apjomam:  100% </w:t>
            </w:r>
            <w:r w:rsidR="003F5406">
              <w:rPr>
                <w:i/>
                <w:sz w:val="22"/>
                <w:szCs w:val="22"/>
                <w:lang w:val="lv-LV"/>
              </w:rPr>
              <w:t>*</w:t>
            </w:r>
            <w:r w:rsidRPr="00B9198B">
              <w:rPr>
                <w:i/>
                <w:sz w:val="22"/>
                <w:szCs w:val="22"/>
                <w:lang w:val="lv-LV"/>
              </w:rPr>
              <w:t xml:space="preserve"> 10 000 EUR = 10 000 EUR</w:t>
            </w:r>
          </w:p>
          <w:p w14:paraId="542D0827" w14:textId="77777777" w:rsidR="00B9198B" w:rsidRPr="00B9198B" w:rsidRDefault="00B9198B" w:rsidP="00B9198B">
            <w:pPr>
              <w:pStyle w:val="Text3"/>
              <w:snapToGrid w:val="0"/>
              <w:ind w:left="35"/>
              <w:rPr>
                <w:sz w:val="22"/>
                <w:szCs w:val="22"/>
                <w:lang w:val="lv-LV"/>
              </w:rPr>
            </w:pPr>
          </w:p>
          <w:p w14:paraId="5E9EA1B9" w14:textId="77777777" w:rsidR="00B9198B" w:rsidRPr="00B9198B" w:rsidRDefault="00B9198B" w:rsidP="00B9198B">
            <w:pPr>
              <w:pStyle w:val="Text3"/>
              <w:snapToGrid w:val="0"/>
              <w:ind w:left="35"/>
              <w:rPr>
                <w:sz w:val="22"/>
                <w:szCs w:val="22"/>
                <w:lang w:val="lv-LV"/>
              </w:rPr>
            </w:pPr>
            <w:r w:rsidRPr="00B9198B">
              <w:rPr>
                <w:sz w:val="22"/>
                <w:szCs w:val="22"/>
                <w:lang w:val="lv-LV"/>
              </w:rPr>
              <w:t>b) projektā ar netiešu pozitīvu ietekmi uz horizontālo principu “Vienlīdzīgas iespējas” 100% finanšu korekciju var piemērot noteiktam projekta apjomam gadījumos, ja kritērijā par projekta ietekmi uz horizontālo principu “Vienlīdzīgas iespējas” par specifiskām darbībām ir piešķirti papildu punkti un pārkāpums ir būtiski ietekmējis projekta rezultātu (skat.1.piemēru).</w:t>
            </w:r>
          </w:p>
          <w:p w14:paraId="06AF2315" w14:textId="77777777" w:rsidR="00B9198B" w:rsidRPr="00B9198B" w:rsidRDefault="00B9198B" w:rsidP="00B9198B">
            <w:pPr>
              <w:pStyle w:val="Text3"/>
              <w:snapToGrid w:val="0"/>
              <w:ind w:left="35"/>
              <w:rPr>
                <w:sz w:val="22"/>
                <w:szCs w:val="22"/>
                <w:lang w:val="lv-LV"/>
              </w:rPr>
            </w:pPr>
          </w:p>
          <w:p w14:paraId="07E18D30" w14:textId="77777777" w:rsidR="00B9198B" w:rsidRPr="00B9198B" w:rsidRDefault="00B9198B" w:rsidP="00B9198B">
            <w:pPr>
              <w:pStyle w:val="Text3"/>
              <w:snapToGrid w:val="0"/>
              <w:ind w:left="35"/>
              <w:rPr>
                <w:i/>
                <w:sz w:val="22"/>
                <w:szCs w:val="22"/>
                <w:lang w:val="lv-LV"/>
              </w:rPr>
            </w:pPr>
            <w:r w:rsidRPr="00B9198B">
              <w:rPr>
                <w:i/>
                <w:sz w:val="22"/>
                <w:szCs w:val="22"/>
                <w:lang w:val="lv-LV"/>
              </w:rPr>
              <w:t xml:space="preserve">Aprēķins: Projekta apjoms ir 10 000 EUR, noteiktam projekta apjomam - konkrētai HP specifiskai darbībai - 5 000 EUR: 100% </w:t>
            </w:r>
            <w:r w:rsidR="003F5406">
              <w:rPr>
                <w:i/>
                <w:sz w:val="22"/>
                <w:szCs w:val="22"/>
                <w:lang w:val="lv-LV"/>
              </w:rPr>
              <w:t>*</w:t>
            </w:r>
            <w:r w:rsidRPr="00B9198B">
              <w:rPr>
                <w:i/>
                <w:sz w:val="22"/>
                <w:szCs w:val="22"/>
                <w:lang w:val="lv-LV"/>
              </w:rPr>
              <w:t xml:space="preserve"> 5 000 EUR=5000 EUR</w:t>
            </w:r>
          </w:p>
          <w:p w14:paraId="72F21285" w14:textId="77777777" w:rsidR="00B9198B" w:rsidRPr="00B9198B" w:rsidRDefault="00B9198B" w:rsidP="00B9198B">
            <w:pPr>
              <w:pStyle w:val="Text3"/>
              <w:snapToGrid w:val="0"/>
              <w:ind w:left="35"/>
              <w:rPr>
                <w:sz w:val="22"/>
                <w:szCs w:val="22"/>
                <w:lang w:val="lv-LV"/>
              </w:rPr>
            </w:pPr>
            <w:r w:rsidRPr="00B9198B">
              <w:rPr>
                <w:sz w:val="22"/>
                <w:szCs w:val="22"/>
                <w:lang w:val="lv-LV"/>
              </w:rPr>
              <w:t>c) Projektā ar netiešu pozitīvu ietekmi uz horizontālo principu “Vienlīdzīgas iespējas” par darbībām horizontālā principa jomās ir piešķirti papildu punkti, bet projekta īstenošanas laikā tās nav sasniegtas/izpildītas un trūkumi vairs nevar tikt novērsti. Šādā gadījumā 25% finanšu korekciju būtu ieteicams piemērot projekta apjomam, kas ir noteikts no proporcionāli piešķirtā punktu skaita projekta vērtēšanā pret kopējo piešķirto punktu skaitu:</w:t>
            </w:r>
          </w:p>
          <w:p w14:paraId="4BBD7F56" w14:textId="77777777" w:rsidR="00B9198B" w:rsidRPr="00B9198B" w:rsidRDefault="00B9198B" w:rsidP="00B9198B">
            <w:pPr>
              <w:pStyle w:val="Text3"/>
              <w:snapToGrid w:val="0"/>
              <w:ind w:left="35"/>
              <w:rPr>
                <w:i/>
                <w:sz w:val="22"/>
                <w:szCs w:val="22"/>
                <w:lang w:val="lv-LV"/>
              </w:rPr>
            </w:pPr>
            <w:r w:rsidRPr="00B9198B">
              <w:rPr>
                <w:i/>
                <w:sz w:val="22"/>
                <w:szCs w:val="22"/>
                <w:lang w:val="lv-LV"/>
              </w:rPr>
              <w:t>Aprēķins: Projekta apjoms ir 10 000 EUR. 10 punktus projekta iesniedzējs ir saņēmis papildus par plānotajām darbībām horizontālā principa jomā, 100 kopējais punktu skaits. Aprēķins: 10/100 = 10%; 10% * 10 000 = 1000; 25% * 1000 = 250 EUR.</w:t>
            </w:r>
          </w:p>
          <w:p w14:paraId="3FCAEC5F" w14:textId="77777777" w:rsidR="00B9198B" w:rsidRPr="00B9198B" w:rsidRDefault="00B9198B" w:rsidP="00B9198B">
            <w:pPr>
              <w:pStyle w:val="Text3"/>
              <w:snapToGrid w:val="0"/>
              <w:ind w:left="35"/>
              <w:rPr>
                <w:sz w:val="22"/>
                <w:szCs w:val="22"/>
                <w:lang w:val="lv-LV"/>
              </w:rPr>
            </w:pPr>
          </w:p>
          <w:p w14:paraId="66DAC217" w14:textId="77777777" w:rsidR="00B9198B" w:rsidRPr="00B9198B" w:rsidRDefault="00B9198B" w:rsidP="00023A1B">
            <w:pPr>
              <w:pStyle w:val="Text3"/>
              <w:tabs>
                <w:tab w:val="clear" w:pos="2302"/>
                <w:tab w:val="left" w:pos="318"/>
              </w:tabs>
              <w:snapToGrid w:val="0"/>
              <w:ind w:left="35"/>
              <w:rPr>
                <w:sz w:val="22"/>
                <w:szCs w:val="22"/>
                <w:lang w:val="lv-LV"/>
              </w:rPr>
            </w:pPr>
            <w:r>
              <w:rPr>
                <w:sz w:val="22"/>
                <w:szCs w:val="22"/>
                <w:lang w:val="lv-LV"/>
              </w:rPr>
              <w:t>d</w:t>
            </w:r>
            <w:r w:rsidRPr="00B9198B">
              <w:rPr>
                <w:sz w:val="22"/>
                <w:szCs w:val="22"/>
                <w:lang w:val="lv-LV"/>
              </w:rPr>
              <w:t>)</w:t>
            </w:r>
            <w:r w:rsidRPr="00B9198B">
              <w:rPr>
                <w:sz w:val="22"/>
                <w:szCs w:val="22"/>
                <w:lang w:val="lv-LV"/>
              </w:rPr>
              <w:tab/>
              <w:t xml:space="preserve"> projektā ir plānotas darbības horizontālo principu jomās un projektu iesniegumu vērtēšanas procesā par darbībām horizontālo principu jomās ir piešķirti papildu punkti, bet projekta īstenošanas laikā tās ir sasniegtas/izpildītas daļēji. Šādā gadījumā 10% finanšu korekciju būtu ieteicams piemērot projekta apjomam, kas ir noteikts no proporcionāli piešķirtā punktu skaita projekta vērtēšanā pret kopējo piešķirto punktu skaitu: </w:t>
            </w:r>
          </w:p>
          <w:p w14:paraId="7154D46E" w14:textId="77777777" w:rsidR="00B9198B" w:rsidRPr="00B9198B" w:rsidRDefault="00B9198B" w:rsidP="00B9198B">
            <w:pPr>
              <w:pStyle w:val="Text3"/>
              <w:snapToGrid w:val="0"/>
              <w:ind w:left="35"/>
              <w:rPr>
                <w:sz w:val="22"/>
                <w:szCs w:val="22"/>
                <w:lang w:val="lv-LV"/>
              </w:rPr>
            </w:pPr>
          </w:p>
          <w:p w14:paraId="5E666543" w14:textId="77777777" w:rsidR="00B9198B" w:rsidRPr="00B9198B" w:rsidRDefault="00B9198B" w:rsidP="00B9198B">
            <w:pPr>
              <w:pStyle w:val="Text3"/>
              <w:snapToGrid w:val="0"/>
              <w:ind w:left="35"/>
              <w:rPr>
                <w:i/>
                <w:sz w:val="22"/>
                <w:szCs w:val="22"/>
                <w:lang w:val="lv-LV"/>
              </w:rPr>
            </w:pPr>
            <w:r w:rsidRPr="00B9198B">
              <w:rPr>
                <w:i/>
                <w:sz w:val="22"/>
                <w:szCs w:val="22"/>
                <w:lang w:val="lv-LV"/>
              </w:rPr>
              <w:t>Projekta apjoms ir 10 000 EUR, 10 punktus projekta iesniedzējs ir saņēmis papildus par plānotajām darbībām horizontālā  principa jomā, 100 kopējais punktu skaits. Aprēķins: 10/100 = 10%; 10% * 10 000 = 1000; 10% * 1000 = 100 EUR.</w:t>
            </w:r>
          </w:p>
          <w:p w14:paraId="1947AB5C" w14:textId="77777777" w:rsidR="00B9198B" w:rsidRPr="00B9198B" w:rsidRDefault="00B9198B" w:rsidP="00B9198B">
            <w:pPr>
              <w:pStyle w:val="Text3"/>
              <w:snapToGrid w:val="0"/>
              <w:ind w:left="35"/>
              <w:rPr>
                <w:sz w:val="22"/>
                <w:szCs w:val="22"/>
                <w:lang w:val="lv-LV"/>
              </w:rPr>
            </w:pPr>
          </w:p>
          <w:p w14:paraId="6D85B11A" w14:textId="77777777" w:rsidR="00B9198B" w:rsidRPr="00B9198B" w:rsidRDefault="00B9198B" w:rsidP="00B9198B">
            <w:pPr>
              <w:pStyle w:val="Text3"/>
              <w:snapToGrid w:val="0"/>
              <w:ind w:left="35"/>
              <w:rPr>
                <w:sz w:val="22"/>
                <w:szCs w:val="22"/>
                <w:lang w:val="lv-LV"/>
              </w:rPr>
            </w:pPr>
            <w:r w:rsidRPr="00B9198B">
              <w:rPr>
                <w:sz w:val="22"/>
                <w:szCs w:val="22"/>
                <w:lang w:val="lv-LV"/>
              </w:rPr>
              <w:t xml:space="preserve">e) gadījumos, kad var pamatot, ka pārkāpums nav būtisks, var piemērot mazāku finanšu korekcijas likmi. </w:t>
            </w:r>
          </w:p>
          <w:p w14:paraId="3CE813A1" w14:textId="77777777" w:rsidR="003C2EA1" w:rsidRPr="00654481" w:rsidRDefault="00B9198B" w:rsidP="00E65D59">
            <w:pPr>
              <w:pStyle w:val="Text3"/>
              <w:snapToGrid w:val="0"/>
              <w:spacing w:after="0"/>
              <w:ind w:left="0"/>
              <w:rPr>
                <w:sz w:val="22"/>
                <w:szCs w:val="22"/>
                <w:lang w:val="lv-LV"/>
              </w:rPr>
            </w:pPr>
            <w:r w:rsidRPr="00B9198B">
              <w:rPr>
                <w:sz w:val="22"/>
                <w:szCs w:val="22"/>
                <w:lang w:val="lv-LV"/>
              </w:rPr>
              <w:t>b), c), d) principus var piemērot visos gadījumos, kad nav izpildīti kvalitātes kritēriji, par kuriem projektu iesniegumu vērtēšanas procesā ir piešķirti papildu punkti.</w:t>
            </w:r>
          </w:p>
        </w:tc>
        <w:tc>
          <w:tcPr>
            <w:tcW w:w="2086" w:type="pct"/>
            <w:gridSpan w:val="2"/>
            <w:tcBorders>
              <w:bottom w:val="single" w:sz="4" w:space="0" w:color="auto"/>
            </w:tcBorders>
          </w:tcPr>
          <w:p w14:paraId="2E45D198" w14:textId="77777777" w:rsidR="00B9198B" w:rsidRPr="00B9198B" w:rsidRDefault="00B9198B" w:rsidP="00B9198B">
            <w:pPr>
              <w:jc w:val="both"/>
              <w:rPr>
                <w:sz w:val="22"/>
                <w:szCs w:val="22"/>
              </w:rPr>
            </w:pPr>
            <w:r w:rsidRPr="00B9198B">
              <w:rPr>
                <w:sz w:val="22"/>
                <w:szCs w:val="22"/>
              </w:rPr>
              <w:t>1.</w:t>
            </w:r>
            <w:r w:rsidRPr="00B9198B">
              <w:rPr>
                <w:sz w:val="22"/>
                <w:szCs w:val="22"/>
              </w:rPr>
              <w:tab/>
              <w:t>Piemērs (100% korekcija)</w:t>
            </w:r>
          </w:p>
          <w:p w14:paraId="47868059" w14:textId="77777777" w:rsidR="00B9198B" w:rsidRPr="00B9198B" w:rsidRDefault="00B9198B" w:rsidP="00B9198B">
            <w:pPr>
              <w:jc w:val="both"/>
              <w:rPr>
                <w:sz w:val="22"/>
                <w:szCs w:val="22"/>
              </w:rPr>
            </w:pPr>
          </w:p>
          <w:p w14:paraId="493677A9" w14:textId="438E3DBA" w:rsidR="00B9198B" w:rsidRPr="00B9198B" w:rsidRDefault="00B9198B" w:rsidP="00B9198B">
            <w:pPr>
              <w:jc w:val="both"/>
              <w:rPr>
                <w:sz w:val="22"/>
                <w:szCs w:val="22"/>
              </w:rPr>
            </w:pPr>
            <w:r w:rsidRPr="00B9198B">
              <w:rPr>
                <w:sz w:val="22"/>
                <w:szCs w:val="22"/>
              </w:rPr>
              <w:t xml:space="preserve">Infrastruktūras attīstības projektā paredzēts būvēt jaunu dienas aprūpes centru bērniem. Projekta ietvaros objektā paredzēts izbūvēt liftu ar speciālu aprīkojumu, lai nodrošinātu vides pieejamību cilvēkiem ar invaliditāti. Kontroles X laikā tiek konstatēts, ka nav izbūvēts lifts un nav citu risinājumu, kas būtu piemēroti personām ar invaliditāti patstāvīgai lietošanai, piemēram, nav iespējas nokļūt ēkas otrajā stāvā, kur atrodas aktu zāle, kā arī vairs nav iespējams novērst neatbilstību, proti, izbūvēt liftu vai nodrošināt citu atbilstošu risinājumu. </w:t>
            </w:r>
          </w:p>
          <w:p w14:paraId="23C04863" w14:textId="77777777" w:rsidR="007754BF" w:rsidRPr="00B9198B" w:rsidRDefault="007754BF" w:rsidP="007754BF">
            <w:pPr>
              <w:jc w:val="both"/>
              <w:rPr>
                <w:sz w:val="22"/>
                <w:szCs w:val="22"/>
              </w:rPr>
            </w:pPr>
          </w:p>
          <w:p w14:paraId="22A5C047" w14:textId="77777777" w:rsidR="007754BF" w:rsidRPr="00B9198B" w:rsidRDefault="007754BF" w:rsidP="007754BF">
            <w:pPr>
              <w:jc w:val="both"/>
              <w:rPr>
                <w:sz w:val="22"/>
                <w:szCs w:val="22"/>
              </w:rPr>
            </w:pPr>
            <w:r w:rsidRPr="00B9198B">
              <w:rPr>
                <w:sz w:val="22"/>
                <w:szCs w:val="22"/>
              </w:rPr>
              <w:t>Minētajā piemērā ir piemērojama 100% korekcija (ar tiešu ietekmi uz HP VI – visam projekta apjomam, ar netiešu ietekmi – noteiktam projekta apjomam), jo projektā nav ievērotas Latvijas Republikas būvnormatīvu prasības, un nav īstenotas plānotās darbības vienlīdzīgu iespēju horizontālās prioritātes jomā, kas ietekmē arī ES fondu pareizu izlietojumu.</w:t>
            </w:r>
          </w:p>
          <w:p w14:paraId="1CBC5D6C" w14:textId="40B231F3" w:rsidR="00B9198B" w:rsidRPr="00B9198B" w:rsidRDefault="007754BF" w:rsidP="007754BF">
            <w:pPr>
              <w:jc w:val="both"/>
              <w:rPr>
                <w:sz w:val="22"/>
                <w:szCs w:val="22"/>
              </w:rPr>
            </w:pPr>
            <w:r w:rsidRPr="00B9198B">
              <w:rPr>
                <w:sz w:val="22"/>
                <w:szCs w:val="22"/>
              </w:rPr>
              <w:t xml:space="preserve"> </w:t>
            </w:r>
            <w:r w:rsidR="00B9198B" w:rsidRPr="00B9198B">
              <w:rPr>
                <w:sz w:val="22"/>
                <w:szCs w:val="22"/>
              </w:rPr>
              <w:t>(Nav ievērots Latvijas būvnormatīva LBN 208-15 „Publiskas būves” 59.punkts, kas paredz, ka publiskās būvēs, kas ir augstākas par vienu stāvu, visu stāvu apkalpošanai paredz vismaz vienu pasažieru liftu vai izmanto citu risinājumu, kas būtu piemērots personām ar invaliditāti patstāvīgai lietošanai). Šāda veida pārkāpums vienlaikus ir risināms atbilstoši Būvniecības likumā noteiktajam attiecībā uz būvniecības kontroli, ziņojot attiecīgās pašvaldības būvvaldei par to, ka netiek ievērotas būvniecību regulējošo normatīvo aktu prasības.</w:t>
            </w:r>
          </w:p>
          <w:p w14:paraId="0158A904" w14:textId="77777777" w:rsidR="00B9198B" w:rsidRPr="00B9198B" w:rsidRDefault="00B9198B" w:rsidP="00B9198B">
            <w:pPr>
              <w:jc w:val="both"/>
              <w:rPr>
                <w:sz w:val="22"/>
                <w:szCs w:val="22"/>
              </w:rPr>
            </w:pPr>
          </w:p>
          <w:p w14:paraId="4158BB72" w14:textId="77777777" w:rsidR="00B9198B" w:rsidRPr="00B9198B" w:rsidRDefault="00B9198B" w:rsidP="00B9198B">
            <w:pPr>
              <w:jc w:val="both"/>
              <w:rPr>
                <w:sz w:val="22"/>
                <w:szCs w:val="22"/>
              </w:rPr>
            </w:pPr>
          </w:p>
          <w:p w14:paraId="041BD8B7" w14:textId="77777777" w:rsidR="00B9198B" w:rsidRPr="00B9198B" w:rsidRDefault="00B9198B" w:rsidP="00B9198B">
            <w:pPr>
              <w:jc w:val="both"/>
              <w:rPr>
                <w:sz w:val="22"/>
                <w:szCs w:val="22"/>
              </w:rPr>
            </w:pPr>
            <w:r w:rsidRPr="00B9198B">
              <w:rPr>
                <w:sz w:val="22"/>
                <w:szCs w:val="22"/>
              </w:rPr>
              <w:t>2.</w:t>
            </w:r>
            <w:r w:rsidRPr="00B9198B">
              <w:rPr>
                <w:sz w:val="22"/>
                <w:szCs w:val="22"/>
              </w:rPr>
              <w:tab/>
              <w:t>Piemērs (25% korekcija)</w:t>
            </w:r>
          </w:p>
          <w:p w14:paraId="3B558A52" w14:textId="77777777" w:rsidR="00B9198B" w:rsidRPr="00B9198B" w:rsidRDefault="00B9198B" w:rsidP="00B9198B">
            <w:pPr>
              <w:jc w:val="both"/>
              <w:rPr>
                <w:sz w:val="22"/>
                <w:szCs w:val="22"/>
              </w:rPr>
            </w:pPr>
          </w:p>
          <w:p w14:paraId="5BA83B36" w14:textId="77777777" w:rsidR="00B9198B" w:rsidRPr="00B9198B" w:rsidRDefault="00B9198B" w:rsidP="00B9198B">
            <w:pPr>
              <w:jc w:val="both"/>
              <w:rPr>
                <w:sz w:val="22"/>
                <w:szCs w:val="22"/>
              </w:rPr>
            </w:pPr>
            <w:r w:rsidRPr="00B9198B">
              <w:rPr>
                <w:sz w:val="22"/>
                <w:szCs w:val="22"/>
              </w:rPr>
              <w:t xml:space="preserve">Infrastruktūras attīstības projektā paredzēts būvēt jaunu pirmsskolas izglītības iestādi. Projekta iesniedzējs ir saņēmis papildu punktus par to, ka, papildu Latvijas būvnormatīvā LBN 208-15 „Publiskas būves” noteiktajam, ir paredzējis izbūvēt divas tualetes telpas (1. un 2.stāvā), kas ir pieejamas riteņkrēslu lietotājiem, nevis tikai vienā stāvā, kā to prasa minētais būvnormatīvs. Kontroles X laikā tiek konstatēts, ka tualetes telpa, kas ir pieejama riteņkrēslu lietotājiem, ir izbūvēta tikai 1. stāvā.  </w:t>
            </w:r>
          </w:p>
          <w:p w14:paraId="5FF47523" w14:textId="77777777" w:rsidR="00B9198B" w:rsidRPr="00B9198B" w:rsidRDefault="00B9198B" w:rsidP="00B9198B">
            <w:pPr>
              <w:jc w:val="both"/>
              <w:rPr>
                <w:sz w:val="22"/>
                <w:szCs w:val="22"/>
              </w:rPr>
            </w:pPr>
            <w:r w:rsidRPr="00B9198B">
              <w:rPr>
                <w:sz w:val="22"/>
                <w:szCs w:val="22"/>
              </w:rPr>
              <w:t>Šajā gadījumā var piemērot 25% finanšu korekciju, jo projektā nav īstenotas plānotās darbības vienlīdzīgu iespēju horizontālās prioritātes jomā, kas ietekmē arī ES fondu pareizu izlietojumu.</w:t>
            </w:r>
          </w:p>
          <w:p w14:paraId="403E967B" w14:textId="77777777" w:rsidR="00B9198B" w:rsidRPr="00B9198B" w:rsidRDefault="00B9198B" w:rsidP="00B9198B">
            <w:pPr>
              <w:jc w:val="both"/>
              <w:rPr>
                <w:sz w:val="22"/>
                <w:szCs w:val="22"/>
              </w:rPr>
            </w:pPr>
          </w:p>
          <w:p w14:paraId="3C1FD390" w14:textId="77777777" w:rsidR="00B9198B" w:rsidRPr="00B9198B" w:rsidRDefault="00B9198B" w:rsidP="00B9198B">
            <w:pPr>
              <w:jc w:val="both"/>
              <w:rPr>
                <w:sz w:val="22"/>
                <w:szCs w:val="22"/>
              </w:rPr>
            </w:pPr>
            <w:r w:rsidRPr="00B9198B">
              <w:rPr>
                <w:sz w:val="22"/>
                <w:szCs w:val="22"/>
              </w:rPr>
              <w:t>3.</w:t>
            </w:r>
            <w:r w:rsidRPr="00B9198B">
              <w:rPr>
                <w:sz w:val="22"/>
                <w:szCs w:val="22"/>
              </w:rPr>
              <w:tab/>
              <w:t xml:space="preserve">Piemērs (25% korekcija) </w:t>
            </w:r>
          </w:p>
          <w:p w14:paraId="2C03FDDA" w14:textId="77777777" w:rsidR="00B9198B" w:rsidRPr="00B9198B" w:rsidRDefault="00B9198B" w:rsidP="00B9198B">
            <w:pPr>
              <w:jc w:val="both"/>
              <w:rPr>
                <w:sz w:val="22"/>
                <w:szCs w:val="22"/>
              </w:rPr>
            </w:pPr>
          </w:p>
          <w:p w14:paraId="302E5310" w14:textId="77777777" w:rsidR="00B9198B" w:rsidRPr="00B9198B" w:rsidRDefault="00B9198B" w:rsidP="00B9198B">
            <w:pPr>
              <w:jc w:val="both"/>
              <w:rPr>
                <w:sz w:val="22"/>
                <w:szCs w:val="22"/>
              </w:rPr>
            </w:pPr>
            <w:r w:rsidRPr="00B9198B">
              <w:rPr>
                <w:sz w:val="22"/>
                <w:szCs w:val="22"/>
              </w:rPr>
              <w:t xml:space="preserve">Nodarbināto apmācībās projekta ietvaros tika paredzētas specifiskas darbības, kas sekmē dzimumu līdztiesību, personu ar invaliditāti tiesību ievērošanu un iekļaušanu, veicina nediskrimināciju vecuma un etniskās piederības dēļ. Projekta iesniedzējs ir saņēmis papildu punktus par to, ka apmācības tiks organizētas vides pieejamības prasībām atbilstošās telpās (uzbrauktuve, lifts, tualete atbilstoša cilvēku ar invaliditāti vajadzībām), tiks nodrošināts elastīgs apmācību laiks un mācību materiāli tiks nodrošināti dažādos formātos (audio, video, palielinātā drukā u.c.), ar īpašiem informācijas līdzekļiem tiks piesaistītas dažādas mērķa grupas, t.sk. pirmspensijas vecuma sievietes un vīrieši, cilvēki ar invaliditāti, tiks sniegts etnisko minoritāšu pārstāvjiem, īpaši romiem. Kontroles X laikā tiek konstatēts, ka projektā specifiskas </w:t>
            </w:r>
            <w:r w:rsidR="005D0915">
              <w:rPr>
                <w:sz w:val="22"/>
                <w:szCs w:val="22"/>
              </w:rPr>
              <w:t>darbības</w:t>
            </w:r>
            <w:r w:rsidR="005D0915" w:rsidRPr="00B9198B">
              <w:rPr>
                <w:sz w:val="22"/>
                <w:szCs w:val="22"/>
              </w:rPr>
              <w:t xml:space="preserve"> </w:t>
            </w:r>
            <w:r w:rsidRPr="00B9198B">
              <w:rPr>
                <w:sz w:val="22"/>
                <w:szCs w:val="22"/>
              </w:rPr>
              <w:t xml:space="preserve">netiek īstenotas, līdz ar to tiek diskriminētas personu tiesības piedalīties projekta </w:t>
            </w:r>
            <w:r w:rsidR="005D0915">
              <w:rPr>
                <w:sz w:val="22"/>
                <w:szCs w:val="22"/>
              </w:rPr>
              <w:t>darbībās</w:t>
            </w:r>
            <w:r w:rsidR="005D0915" w:rsidRPr="00B9198B">
              <w:rPr>
                <w:sz w:val="22"/>
                <w:szCs w:val="22"/>
              </w:rPr>
              <w:t xml:space="preserve"> </w:t>
            </w:r>
            <w:r w:rsidRPr="00B9198B">
              <w:rPr>
                <w:sz w:val="22"/>
                <w:szCs w:val="22"/>
              </w:rPr>
              <w:t>dzimuma, vecuma, invaliditātes vai etniskās piederības dēļ.  Šajā gadījumā horizontālais princips “Vienlīdzīgas iespējas” netiek ieviests un projektam var piemērot 25% finanšu korekciju.</w:t>
            </w:r>
          </w:p>
          <w:p w14:paraId="7C354F7F" w14:textId="77777777" w:rsidR="00B9198B" w:rsidRPr="00B9198B" w:rsidRDefault="00B9198B" w:rsidP="00B9198B">
            <w:pPr>
              <w:jc w:val="both"/>
              <w:rPr>
                <w:sz w:val="22"/>
                <w:szCs w:val="22"/>
              </w:rPr>
            </w:pPr>
          </w:p>
          <w:p w14:paraId="2437AE4E" w14:textId="77777777" w:rsidR="00B9198B" w:rsidRPr="00B9198B" w:rsidRDefault="00B9198B" w:rsidP="00B9198B">
            <w:pPr>
              <w:jc w:val="both"/>
              <w:rPr>
                <w:sz w:val="22"/>
                <w:szCs w:val="22"/>
              </w:rPr>
            </w:pPr>
          </w:p>
          <w:p w14:paraId="0726A0DC" w14:textId="77777777" w:rsidR="00B9198B" w:rsidRPr="00B9198B" w:rsidRDefault="00B9198B" w:rsidP="00B9198B">
            <w:pPr>
              <w:jc w:val="both"/>
              <w:rPr>
                <w:sz w:val="22"/>
                <w:szCs w:val="22"/>
              </w:rPr>
            </w:pPr>
            <w:r w:rsidRPr="00B9198B">
              <w:rPr>
                <w:sz w:val="22"/>
                <w:szCs w:val="22"/>
              </w:rPr>
              <w:t>4.</w:t>
            </w:r>
            <w:r w:rsidRPr="00B9198B">
              <w:rPr>
                <w:sz w:val="22"/>
                <w:szCs w:val="22"/>
              </w:rPr>
              <w:tab/>
            </w:r>
            <w:r w:rsidR="00545EFC">
              <w:rPr>
                <w:sz w:val="22"/>
                <w:szCs w:val="22"/>
              </w:rPr>
              <w:t>P</w:t>
            </w:r>
            <w:r w:rsidRPr="00B9198B">
              <w:rPr>
                <w:sz w:val="22"/>
                <w:szCs w:val="22"/>
              </w:rPr>
              <w:t>iemērs (10% korekcijai)</w:t>
            </w:r>
          </w:p>
          <w:p w14:paraId="6FF5C613" w14:textId="77777777" w:rsidR="00B9198B" w:rsidRPr="00B9198B" w:rsidRDefault="00B9198B" w:rsidP="00B9198B">
            <w:pPr>
              <w:jc w:val="both"/>
              <w:rPr>
                <w:sz w:val="22"/>
                <w:szCs w:val="22"/>
              </w:rPr>
            </w:pPr>
          </w:p>
          <w:p w14:paraId="42BCC2E9" w14:textId="77777777" w:rsidR="00B9198B" w:rsidRPr="00B9198B" w:rsidRDefault="00B9198B" w:rsidP="00B9198B">
            <w:pPr>
              <w:jc w:val="both"/>
              <w:rPr>
                <w:sz w:val="22"/>
                <w:szCs w:val="22"/>
              </w:rPr>
            </w:pPr>
            <w:r w:rsidRPr="00B9198B">
              <w:rPr>
                <w:sz w:val="22"/>
                <w:szCs w:val="22"/>
              </w:rPr>
              <w:t>Infrastruktūras attīstības projektā paredzēts izbūvēt sabiedriskā transporta pieturvietu. Projekta iesniedzējs ir saņēmis papildu punktus par to, ka projektā, papildu būvnormatīvos noteiktajam, objektā paredzēts izbūvēt slīpu soliņu ar augstumu 80 cm, kas ir paredzēts cilvēkiem ar ierobežotām kustībām. Pārbaudē X konstatēts, ka sabiedriskā transporta pieturvietā nav izbūvēts slīpais soliņš. Šajā gadījumā var piemērot 10% finanšu korekciju, jo projekta ietvaros ir izbūvēta sabiedriskā transporta pieturvieta, kas atbilst būvniecību regulējošo normatīvo aktu prasībām un ir pieejama personām ar invaliditāti, taču horizontālais princips “Vienlīdzīgas iespējas” ir ieviests daļēji.</w:t>
            </w:r>
          </w:p>
          <w:p w14:paraId="5E8E2FCC" w14:textId="77777777" w:rsidR="00B9198B" w:rsidRPr="00B9198B" w:rsidRDefault="00B9198B" w:rsidP="00B9198B">
            <w:pPr>
              <w:jc w:val="both"/>
              <w:rPr>
                <w:sz w:val="22"/>
                <w:szCs w:val="22"/>
              </w:rPr>
            </w:pPr>
          </w:p>
          <w:p w14:paraId="0FCC8612" w14:textId="77777777" w:rsidR="00B9198B" w:rsidRPr="00B9198B" w:rsidRDefault="00B9198B" w:rsidP="00B9198B">
            <w:pPr>
              <w:jc w:val="both"/>
              <w:rPr>
                <w:sz w:val="22"/>
                <w:szCs w:val="22"/>
              </w:rPr>
            </w:pPr>
          </w:p>
          <w:p w14:paraId="344015AA" w14:textId="77777777" w:rsidR="00B9198B" w:rsidRPr="00B9198B" w:rsidRDefault="00B9198B" w:rsidP="00B9198B">
            <w:pPr>
              <w:jc w:val="both"/>
              <w:rPr>
                <w:sz w:val="22"/>
                <w:szCs w:val="22"/>
              </w:rPr>
            </w:pPr>
            <w:r w:rsidRPr="00B9198B">
              <w:rPr>
                <w:sz w:val="22"/>
                <w:szCs w:val="22"/>
              </w:rPr>
              <w:t>5.</w:t>
            </w:r>
            <w:r w:rsidRPr="00B9198B">
              <w:rPr>
                <w:sz w:val="22"/>
                <w:szCs w:val="22"/>
              </w:rPr>
              <w:tab/>
              <w:t xml:space="preserve">Piemērs (5% korekcija) </w:t>
            </w:r>
          </w:p>
          <w:p w14:paraId="198BEC48" w14:textId="77777777" w:rsidR="00B9198B" w:rsidRPr="00B9198B" w:rsidRDefault="00B9198B" w:rsidP="00B9198B">
            <w:pPr>
              <w:jc w:val="both"/>
              <w:rPr>
                <w:sz w:val="22"/>
                <w:szCs w:val="22"/>
              </w:rPr>
            </w:pPr>
          </w:p>
          <w:p w14:paraId="27F4519C" w14:textId="77777777" w:rsidR="00B9198B" w:rsidRPr="00B9198B" w:rsidRDefault="00B9198B" w:rsidP="00B9198B">
            <w:pPr>
              <w:jc w:val="both"/>
              <w:rPr>
                <w:sz w:val="22"/>
                <w:szCs w:val="22"/>
              </w:rPr>
            </w:pPr>
            <w:r w:rsidRPr="00B9198B">
              <w:rPr>
                <w:sz w:val="22"/>
                <w:szCs w:val="22"/>
              </w:rPr>
              <w:t xml:space="preserve">Uzņēmējdarbības vai pašnodarbinātības veicināšanas projektā paredzēts organizēt apmācības mērķa grupai. Projekta iesniedzējs ir saņēmis papildu punktus par to, ka projektā paredzēts iesaistīt vairāk nekā 50 nelabvēlīgākā situācijā esošus darba ņēmējus vai strādājošas personas ar invaliditāti. Kontroles X laikā tiek konstatēts, ka projekta </w:t>
            </w:r>
            <w:r w:rsidR="00950C8C">
              <w:rPr>
                <w:sz w:val="22"/>
                <w:szCs w:val="22"/>
              </w:rPr>
              <w:t>darbībās</w:t>
            </w:r>
            <w:r w:rsidR="00950C8C" w:rsidRPr="00B9198B">
              <w:rPr>
                <w:sz w:val="22"/>
                <w:szCs w:val="22"/>
              </w:rPr>
              <w:t xml:space="preserve"> </w:t>
            </w:r>
            <w:r w:rsidRPr="00B9198B">
              <w:rPr>
                <w:sz w:val="22"/>
                <w:szCs w:val="22"/>
              </w:rPr>
              <w:t>ir iesaistītas 35 nelabvēlīgākā situācijā esoši darba ņēmēji vai strādājošas personas ar invaliditāti. Šajā gadījumā horizontālais princips “Vienlīdzīgas iespējas” ir ieviesta daļēji un projektam var piemērot 5% finanšu korekciju.</w:t>
            </w:r>
          </w:p>
          <w:p w14:paraId="62EBA423" w14:textId="77777777" w:rsidR="00B9198B" w:rsidRPr="00B9198B" w:rsidRDefault="00B9198B" w:rsidP="00B9198B">
            <w:pPr>
              <w:jc w:val="both"/>
              <w:rPr>
                <w:sz w:val="22"/>
                <w:szCs w:val="22"/>
              </w:rPr>
            </w:pPr>
          </w:p>
          <w:p w14:paraId="0504C416" w14:textId="77777777" w:rsidR="00B9198B" w:rsidRPr="00B9198B" w:rsidRDefault="00B9198B" w:rsidP="00B9198B">
            <w:pPr>
              <w:jc w:val="both"/>
              <w:rPr>
                <w:sz w:val="22"/>
                <w:szCs w:val="22"/>
              </w:rPr>
            </w:pPr>
            <w:r w:rsidRPr="00B9198B">
              <w:rPr>
                <w:sz w:val="22"/>
                <w:szCs w:val="22"/>
              </w:rPr>
              <w:t>6.</w:t>
            </w:r>
            <w:r w:rsidRPr="00B9198B">
              <w:rPr>
                <w:sz w:val="22"/>
                <w:szCs w:val="22"/>
              </w:rPr>
              <w:tab/>
              <w:t>Piemērs (5% korekcija)</w:t>
            </w:r>
          </w:p>
          <w:p w14:paraId="22E32CA7" w14:textId="77777777" w:rsidR="00B9198B" w:rsidRPr="00B9198B" w:rsidRDefault="00B9198B" w:rsidP="00B9198B">
            <w:pPr>
              <w:jc w:val="both"/>
              <w:rPr>
                <w:sz w:val="22"/>
                <w:szCs w:val="22"/>
              </w:rPr>
            </w:pPr>
          </w:p>
          <w:p w14:paraId="0034C00A" w14:textId="77777777" w:rsidR="00B9198B" w:rsidRPr="00B9198B" w:rsidRDefault="00B9198B" w:rsidP="00B9198B">
            <w:pPr>
              <w:jc w:val="both"/>
              <w:rPr>
                <w:sz w:val="22"/>
                <w:szCs w:val="22"/>
              </w:rPr>
            </w:pPr>
            <w:r w:rsidRPr="00B9198B">
              <w:rPr>
                <w:sz w:val="22"/>
                <w:szCs w:val="22"/>
              </w:rPr>
              <w:t xml:space="preserve">NVA nereģistrēto NEET jauniešu iesaistes izglītībā projektā </w:t>
            </w:r>
          </w:p>
          <w:p w14:paraId="02B7EA0C" w14:textId="77777777" w:rsidR="00DA7F9C" w:rsidRPr="009D07C7" w:rsidRDefault="00B9198B" w:rsidP="00536D59">
            <w:pPr>
              <w:jc w:val="both"/>
              <w:rPr>
                <w:sz w:val="22"/>
                <w:szCs w:val="22"/>
              </w:rPr>
            </w:pPr>
            <w:r w:rsidRPr="00B9198B">
              <w:rPr>
                <w:sz w:val="22"/>
                <w:szCs w:val="22"/>
              </w:rPr>
              <w:t>ir paredzēts rīkot mērķa grupu jauniešu atbalsta un aktivizēšanas pasākumus. Projekta iesniedzējs ir saņēmis papildu punktus par to, ka projektā nodrošinās vienlīdzīgas iespējas personām ar funkcionāliem traucējumiem, t.i. apmācību semināri tiks rīkoti cilvēkiem ar invaliditāti pieejamās telpās. Kontroles X laikā tiek konstatēts, ka apmācību seminārs notiek daudzstāvu ēkas 4.stāvā un ēkā nav ierīkots lifts. Šajā gadījumā horizontālais princips “Vienlīdzīgas iespējas” netiek ieviests un projektam var piemērot 5% finanšu korekciju. Finanšu korekciju nepiemēro gadījumos, ja projekta īstenotājs var pamatot, ka ir apzinājis mērķa grupu un tās vajadzības, ir noskaidrojis, ka dalībnieku vidū nav personu ar funkcionāliem traucējumiem, kuriem būtu nepieciešams nodrošināt semināra telpu pieejamību.</w:t>
            </w:r>
          </w:p>
        </w:tc>
        <w:tc>
          <w:tcPr>
            <w:tcW w:w="912" w:type="pct"/>
            <w:tcBorders>
              <w:bottom w:val="single" w:sz="4" w:space="0" w:color="auto"/>
            </w:tcBorders>
          </w:tcPr>
          <w:p w14:paraId="649A7A7E" w14:textId="77777777" w:rsidR="00DA7F9C" w:rsidRPr="009D07C7" w:rsidRDefault="00DA7F9C" w:rsidP="00E65D59">
            <w:pPr>
              <w:jc w:val="center"/>
              <w:rPr>
                <w:sz w:val="22"/>
                <w:szCs w:val="22"/>
              </w:rPr>
            </w:pPr>
          </w:p>
          <w:p w14:paraId="155A1B77" w14:textId="77777777" w:rsidR="00DD563F" w:rsidRPr="009D07C7" w:rsidRDefault="00DA7F9C" w:rsidP="002C4871">
            <w:pPr>
              <w:numPr>
                <w:ilvl w:val="0"/>
                <w:numId w:val="5"/>
              </w:numPr>
              <w:jc w:val="center"/>
              <w:rPr>
                <w:sz w:val="22"/>
                <w:szCs w:val="22"/>
              </w:rPr>
            </w:pPr>
            <w:r w:rsidRPr="009D07C7">
              <w:rPr>
                <w:sz w:val="22"/>
                <w:szCs w:val="22"/>
              </w:rPr>
              <w:t>25%</w:t>
            </w:r>
            <w:r w:rsidR="00B00895" w:rsidRPr="009D07C7">
              <w:rPr>
                <w:sz w:val="22"/>
                <w:szCs w:val="22"/>
              </w:rPr>
              <w:t>,</w:t>
            </w:r>
            <w:r w:rsidR="00536D59">
              <w:rPr>
                <w:sz w:val="22"/>
                <w:szCs w:val="22"/>
              </w:rPr>
              <w:t xml:space="preserve"> </w:t>
            </w:r>
            <w:r w:rsidR="000055C0" w:rsidRPr="009D07C7">
              <w:rPr>
                <w:sz w:val="22"/>
                <w:szCs w:val="22"/>
              </w:rPr>
              <w:t>100%</w:t>
            </w:r>
          </w:p>
          <w:p w14:paraId="3CDC66C4" w14:textId="77777777" w:rsidR="00B07DC4" w:rsidRPr="009D07C7" w:rsidRDefault="00A30975" w:rsidP="00E65D59">
            <w:pPr>
              <w:ind w:left="360"/>
              <w:rPr>
                <w:sz w:val="22"/>
                <w:szCs w:val="22"/>
              </w:rPr>
            </w:pPr>
            <w:r w:rsidRPr="009D07C7">
              <w:rPr>
                <w:sz w:val="22"/>
                <w:szCs w:val="22"/>
              </w:rPr>
              <w:t>atbilstoši aprēķinam</w:t>
            </w:r>
          </w:p>
          <w:p w14:paraId="6E5F526E" w14:textId="77777777" w:rsidR="00DA7F9C" w:rsidRPr="009D07C7" w:rsidRDefault="00DA7F9C" w:rsidP="00E65D59">
            <w:pPr>
              <w:ind w:left="360"/>
              <w:rPr>
                <w:sz w:val="22"/>
                <w:szCs w:val="22"/>
              </w:rPr>
            </w:pPr>
          </w:p>
          <w:p w14:paraId="59EA2F02" w14:textId="77777777" w:rsidR="00DA7F9C" w:rsidRPr="009D07C7" w:rsidRDefault="00DA7F9C" w:rsidP="00E65D59">
            <w:pPr>
              <w:ind w:left="360"/>
              <w:rPr>
                <w:sz w:val="22"/>
                <w:szCs w:val="22"/>
              </w:rPr>
            </w:pPr>
          </w:p>
          <w:p w14:paraId="081A530C" w14:textId="77777777" w:rsidR="00DA7F9C" w:rsidRPr="009D07C7" w:rsidRDefault="00DA7F9C" w:rsidP="00E65D59">
            <w:pPr>
              <w:ind w:left="360"/>
              <w:rPr>
                <w:sz w:val="22"/>
                <w:szCs w:val="22"/>
              </w:rPr>
            </w:pPr>
          </w:p>
          <w:p w14:paraId="74F09560" w14:textId="77777777" w:rsidR="00DA7F9C" w:rsidRPr="009D07C7" w:rsidRDefault="00DA7F9C" w:rsidP="00E65D59">
            <w:pPr>
              <w:ind w:left="360"/>
              <w:rPr>
                <w:sz w:val="22"/>
                <w:szCs w:val="22"/>
              </w:rPr>
            </w:pPr>
          </w:p>
          <w:p w14:paraId="4C9F6F8C" w14:textId="77777777" w:rsidR="00DA7F9C" w:rsidRPr="009D07C7" w:rsidRDefault="00DA7F9C" w:rsidP="00E65D59">
            <w:pPr>
              <w:ind w:left="360"/>
              <w:rPr>
                <w:sz w:val="22"/>
                <w:szCs w:val="22"/>
              </w:rPr>
            </w:pPr>
          </w:p>
          <w:p w14:paraId="1B872873" w14:textId="77777777" w:rsidR="00DA7F9C" w:rsidRPr="009D07C7" w:rsidRDefault="00DA7F9C" w:rsidP="00E65D59">
            <w:pPr>
              <w:ind w:left="360"/>
              <w:rPr>
                <w:sz w:val="22"/>
                <w:szCs w:val="22"/>
              </w:rPr>
            </w:pPr>
          </w:p>
          <w:p w14:paraId="2B278E68" w14:textId="77777777" w:rsidR="00DA7F9C" w:rsidRPr="009D07C7" w:rsidRDefault="00DA7F9C" w:rsidP="00E65D59">
            <w:pPr>
              <w:ind w:left="360"/>
              <w:rPr>
                <w:sz w:val="22"/>
                <w:szCs w:val="22"/>
              </w:rPr>
            </w:pPr>
          </w:p>
          <w:p w14:paraId="278F0253" w14:textId="77777777" w:rsidR="00DA7F9C" w:rsidRPr="009D07C7" w:rsidRDefault="00DA7F9C" w:rsidP="00E65D59">
            <w:pPr>
              <w:ind w:left="360"/>
              <w:rPr>
                <w:sz w:val="22"/>
                <w:szCs w:val="22"/>
              </w:rPr>
            </w:pPr>
          </w:p>
          <w:p w14:paraId="3458FC20" w14:textId="77777777" w:rsidR="00DA7F9C" w:rsidRPr="009D07C7" w:rsidRDefault="00DA7F9C" w:rsidP="00E65D59">
            <w:pPr>
              <w:ind w:left="360"/>
              <w:rPr>
                <w:sz w:val="22"/>
                <w:szCs w:val="22"/>
              </w:rPr>
            </w:pPr>
          </w:p>
          <w:p w14:paraId="54CD2686" w14:textId="77777777" w:rsidR="00DA7F9C" w:rsidRPr="009D07C7" w:rsidRDefault="00DA7F9C" w:rsidP="00E65D59">
            <w:pPr>
              <w:ind w:left="360"/>
              <w:rPr>
                <w:sz w:val="22"/>
                <w:szCs w:val="22"/>
              </w:rPr>
            </w:pPr>
          </w:p>
          <w:p w14:paraId="5D4BC6C8" w14:textId="77777777" w:rsidR="00DA7F9C" w:rsidRPr="009D07C7" w:rsidRDefault="00DA7F9C" w:rsidP="00E65D59">
            <w:pPr>
              <w:ind w:left="360"/>
              <w:rPr>
                <w:sz w:val="22"/>
                <w:szCs w:val="22"/>
              </w:rPr>
            </w:pPr>
          </w:p>
          <w:p w14:paraId="3F15DA45" w14:textId="77777777" w:rsidR="00DA7F9C" w:rsidRPr="009D07C7" w:rsidRDefault="00DA7F9C" w:rsidP="00E65D59">
            <w:pPr>
              <w:ind w:left="360"/>
              <w:rPr>
                <w:sz w:val="22"/>
                <w:szCs w:val="22"/>
              </w:rPr>
            </w:pPr>
          </w:p>
          <w:p w14:paraId="44636D52" w14:textId="77777777" w:rsidR="00DA7F9C" w:rsidRPr="009D07C7" w:rsidRDefault="00DA7F9C" w:rsidP="00E65D59">
            <w:pPr>
              <w:ind w:left="360"/>
              <w:rPr>
                <w:sz w:val="22"/>
                <w:szCs w:val="22"/>
              </w:rPr>
            </w:pPr>
          </w:p>
          <w:p w14:paraId="3565BDFA" w14:textId="77777777" w:rsidR="00DA7F9C" w:rsidRPr="009D07C7" w:rsidRDefault="00DA7F9C" w:rsidP="00E65D59">
            <w:pPr>
              <w:ind w:left="360"/>
              <w:rPr>
                <w:sz w:val="22"/>
                <w:szCs w:val="22"/>
              </w:rPr>
            </w:pPr>
          </w:p>
          <w:p w14:paraId="1B35FBD6" w14:textId="77777777" w:rsidR="00DA7F9C" w:rsidRPr="009D07C7" w:rsidRDefault="00DA7F9C" w:rsidP="00E65D59">
            <w:pPr>
              <w:ind w:left="360"/>
              <w:rPr>
                <w:sz w:val="22"/>
                <w:szCs w:val="22"/>
              </w:rPr>
            </w:pPr>
          </w:p>
          <w:p w14:paraId="010AF652" w14:textId="77777777" w:rsidR="00DA7F9C" w:rsidRPr="009D07C7" w:rsidRDefault="00DA7F9C" w:rsidP="00E65D59">
            <w:pPr>
              <w:ind w:left="360"/>
              <w:rPr>
                <w:sz w:val="22"/>
                <w:szCs w:val="22"/>
              </w:rPr>
            </w:pPr>
          </w:p>
          <w:p w14:paraId="1C985666" w14:textId="77777777" w:rsidR="00DA7F9C" w:rsidRPr="009D07C7" w:rsidRDefault="00DA7F9C" w:rsidP="00E65D59">
            <w:pPr>
              <w:ind w:left="360"/>
              <w:rPr>
                <w:sz w:val="22"/>
                <w:szCs w:val="22"/>
              </w:rPr>
            </w:pPr>
          </w:p>
          <w:p w14:paraId="1B3739C9" w14:textId="77777777" w:rsidR="00DA7F9C" w:rsidRPr="009D07C7" w:rsidRDefault="00DA7F9C" w:rsidP="00E65D59">
            <w:pPr>
              <w:ind w:left="360"/>
              <w:rPr>
                <w:sz w:val="22"/>
                <w:szCs w:val="22"/>
              </w:rPr>
            </w:pPr>
          </w:p>
          <w:p w14:paraId="30B091E0" w14:textId="77777777" w:rsidR="00DA7F9C" w:rsidRPr="009D07C7" w:rsidRDefault="00DA7F9C" w:rsidP="00E65D59">
            <w:pPr>
              <w:ind w:left="360"/>
              <w:rPr>
                <w:sz w:val="22"/>
                <w:szCs w:val="22"/>
              </w:rPr>
            </w:pPr>
          </w:p>
          <w:p w14:paraId="00D902E7" w14:textId="77777777" w:rsidR="00DA7F9C" w:rsidRPr="009D07C7" w:rsidRDefault="00DA7F9C" w:rsidP="00E65D59">
            <w:pPr>
              <w:ind w:left="360"/>
              <w:rPr>
                <w:sz w:val="22"/>
                <w:szCs w:val="22"/>
              </w:rPr>
            </w:pPr>
          </w:p>
          <w:p w14:paraId="2050FC73" w14:textId="77777777" w:rsidR="00DA7F9C" w:rsidRPr="009D07C7" w:rsidRDefault="00DA7F9C" w:rsidP="00E65D59">
            <w:pPr>
              <w:ind w:left="360"/>
              <w:rPr>
                <w:sz w:val="22"/>
                <w:szCs w:val="22"/>
              </w:rPr>
            </w:pPr>
          </w:p>
          <w:p w14:paraId="5DF17D2A" w14:textId="77777777" w:rsidR="00DA7F9C" w:rsidRPr="009D07C7" w:rsidRDefault="00DA7F9C" w:rsidP="00E65D59">
            <w:pPr>
              <w:ind w:left="360"/>
              <w:rPr>
                <w:sz w:val="22"/>
                <w:szCs w:val="22"/>
              </w:rPr>
            </w:pPr>
          </w:p>
          <w:p w14:paraId="145B967E" w14:textId="77777777" w:rsidR="00DA7F9C" w:rsidRPr="009D07C7" w:rsidRDefault="00DA7F9C" w:rsidP="00E65D59">
            <w:pPr>
              <w:ind w:left="360"/>
              <w:rPr>
                <w:sz w:val="22"/>
                <w:szCs w:val="22"/>
              </w:rPr>
            </w:pPr>
          </w:p>
          <w:p w14:paraId="18A91846" w14:textId="77777777" w:rsidR="00DA7F9C" w:rsidRPr="009D07C7" w:rsidRDefault="00DA7F9C" w:rsidP="00E65D59">
            <w:pPr>
              <w:ind w:left="360"/>
              <w:rPr>
                <w:sz w:val="22"/>
                <w:szCs w:val="22"/>
              </w:rPr>
            </w:pPr>
          </w:p>
          <w:p w14:paraId="2A14E742" w14:textId="77777777" w:rsidR="00DA7F9C" w:rsidRPr="009D07C7" w:rsidRDefault="00DA7F9C" w:rsidP="00E65D59">
            <w:pPr>
              <w:ind w:left="360"/>
              <w:rPr>
                <w:sz w:val="22"/>
                <w:szCs w:val="22"/>
              </w:rPr>
            </w:pPr>
          </w:p>
          <w:p w14:paraId="7EF8A0CB" w14:textId="77777777" w:rsidR="00DA7F9C" w:rsidRPr="009D07C7" w:rsidRDefault="00DA7F9C" w:rsidP="00E65D59">
            <w:pPr>
              <w:ind w:left="360"/>
              <w:rPr>
                <w:sz w:val="22"/>
                <w:szCs w:val="22"/>
              </w:rPr>
            </w:pPr>
          </w:p>
          <w:p w14:paraId="233D9970" w14:textId="77777777" w:rsidR="00DA7F9C" w:rsidRPr="009D07C7" w:rsidRDefault="00DA7F9C" w:rsidP="00E65D59">
            <w:pPr>
              <w:ind w:left="360"/>
              <w:rPr>
                <w:sz w:val="22"/>
                <w:szCs w:val="22"/>
              </w:rPr>
            </w:pPr>
          </w:p>
          <w:p w14:paraId="0D3423C0" w14:textId="77777777" w:rsidR="00DA7F9C" w:rsidRPr="009D07C7" w:rsidRDefault="00DA7F9C" w:rsidP="00E65D59">
            <w:pPr>
              <w:ind w:left="360"/>
              <w:rPr>
                <w:sz w:val="22"/>
                <w:szCs w:val="22"/>
              </w:rPr>
            </w:pPr>
          </w:p>
          <w:p w14:paraId="244C29DC" w14:textId="77777777" w:rsidR="00DA7F9C" w:rsidRPr="009D07C7" w:rsidRDefault="00DA7F9C" w:rsidP="00E65D59">
            <w:pPr>
              <w:ind w:left="360"/>
              <w:rPr>
                <w:sz w:val="22"/>
                <w:szCs w:val="22"/>
              </w:rPr>
            </w:pPr>
          </w:p>
          <w:p w14:paraId="18EE9DBD" w14:textId="77777777" w:rsidR="00DA7F9C" w:rsidRPr="009D07C7" w:rsidRDefault="00DA7F9C" w:rsidP="002C4871">
            <w:pPr>
              <w:numPr>
                <w:ilvl w:val="0"/>
                <w:numId w:val="5"/>
              </w:numPr>
              <w:jc w:val="center"/>
              <w:rPr>
                <w:sz w:val="22"/>
                <w:szCs w:val="22"/>
              </w:rPr>
            </w:pPr>
            <w:r w:rsidRPr="009D07C7">
              <w:rPr>
                <w:sz w:val="22"/>
                <w:szCs w:val="22"/>
              </w:rPr>
              <w:t>10%</w:t>
            </w:r>
            <w:r w:rsidR="00B07DC4" w:rsidRPr="009D07C7">
              <w:rPr>
                <w:sz w:val="22"/>
                <w:szCs w:val="22"/>
              </w:rPr>
              <w:t xml:space="preserve"> </w:t>
            </w:r>
            <w:r w:rsidR="00A30975" w:rsidRPr="009D07C7">
              <w:rPr>
                <w:sz w:val="22"/>
                <w:szCs w:val="22"/>
              </w:rPr>
              <w:t>atbilstoši aprēķinam</w:t>
            </w:r>
          </w:p>
          <w:p w14:paraId="152613B6" w14:textId="77777777" w:rsidR="00DA7F9C" w:rsidRPr="009D07C7" w:rsidRDefault="00DA7F9C" w:rsidP="00E65D59">
            <w:pPr>
              <w:ind w:left="360"/>
              <w:rPr>
                <w:sz w:val="22"/>
                <w:szCs w:val="22"/>
              </w:rPr>
            </w:pPr>
          </w:p>
          <w:p w14:paraId="70CEDB7F" w14:textId="77777777" w:rsidR="00DA7F9C" w:rsidRPr="009D07C7" w:rsidRDefault="00DA7F9C" w:rsidP="00E65D59">
            <w:pPr>
              <w:ind w:left="360"/>
              <w:rPr>
                <w:sz w:val="22"/>
                <w:szCs w:val="22"/>
              </w:rPr>
            </w:pPr>
          </w:p>
          <w:p w14:paraId="4AC781AF" w14:textId="77777777" w:rsidR="00DA7F9C" w:rsidRPr="009D07C7" w:rsidRDefault="00DA7F9C" w:rsidP="00E65D59">
            <w:pPr>
              <w:ind w:left="360"/>
              <w:rPr>
                <w:sz w:val="22"/>
                <w:szCs w:val="22"/>
              </w:rPr>
            </w:pPr>
          </w:p>
          <w:p w14:paraId="62C6FBCD" w14:textId="77777777" w:rsidR="00DA7F9C" w:rsidRPr="009D07C7" w:rsidRDefault="00DA7F9C" w:rsidP="00E65D59">
            <w:pPr>
              <w:ind w:left="360"/>
              <w:rPr>
                <w:sz w:val="22"/>
                <w:szCs w:val="22"/>
              </w:rPr>
            </w:pPr>
          </w:p>
          <w:p w14:paraId="06B6D087" w14:textId="77777777" w:rsidR="00DA7F9C" w:rsidRPr="009D07C7" w:rsidRDefault="00DA7F9C" w:rsidP="00E65D59">
            <w:pPr>
              <w:ind w:left="360"/>
              <w:rPr>
                <w:sz w:val="22"/>
                <w:szCs w:val="22"/>
              </w:rPr>
            </w:pPr>
          </w:p>
          <w:p w14:paraId="2E6A717C" w14:textId="77777777" w:rsidR="00DA7F9C" w:rsidRPr="009D07C7" w:rsidRDefault="00DA7F9C" w:rsidP="00E65D59">
            <w:pPr>
              <w:ind w:left="360"/>
              <w:rPr>
                <w:sz w:val="22"/>
                <w:szCs w:val="22"/>
              </w:rPr>
            </w:pPr>
          </w:p>
          <w:p w14:paraId="44905C7E" w14:textId="77777777" w:rsidR="00DA7F9C" w:rsidRPr="009D07C7" w:rsidRDefault="00DA7F9C" w:rsidP="00E65D59">
            <w:pPr>
              <w:ind w:left="360"/>
              <w:rPr>
                <w:sz w:val="22"/>
                <w:szCs w:val="22"/>
              </w:rPr>
            </w:pPr>
          </w:p>
          <w:p w14:paraId="71391B52" w14:textId="77777777" w:rsidR="00DA7F9C" w:rsidRPr="009D07C7" w:rsidRDefault="00DA7F9C" w:rsidP="00E65D59">
            <w:pPr>
              <w:ind w:left="360"/>
              <w:rPr>
                <w:sz w:val="22"/>
                <w:szCs w:val="22"/>
              </w:rPr>
            </w:pPr>
          </w:p>
          <w:p w14:paraId="36DA18EB" w14:textId="77777777" w:rsidR="00DA7F9C" w:rsidRPr="009D07C7" w:rsidRDefault="00DA7F9C" w:rsidP="00E65D59">
            <w:pPr>
              <w:ind w:left="360"/>
              <w:rPr>
                <w:sz w:val="22"/>
                <w:szCs w:val="22"/>
              </w:rPr>
            </w:pPr>
          </w:p>
          <w:p w14:paraId="67FABA39" w14:textId="77777777" w:rsidR="00DA7F9C" w:rsidRPr="009D07C7" w:rsidRDefault="00DA7F9C" w:rsidP="00E65D59">
            <w:pPr>
              <w:ind w:left="360"/>
              <w:rPr>
                <w:sz w:val="22"/>
                <w:szCs w:val="22"/>
              </w:rPr>
            </w:pPr>
          </w:p>
          <w:p w14:paraId="18C70828" w14:textId="77777777" w:rsidR="00DA7F9C" w:rsidRPr="009D07C7" w:rsidRDefault="00DA7F9C" w:rsidP="00E65D59">
            <w:pPr>
              <w:ind w:left="360"/>
              <w:rPr>
                <w:sz w:val="22"/>
                <w:szCs w:val="22"/>
              </w:rPr>
            </w:pPr>
          </w:p>
          <w:p w14:paraId="2690AC24" w14:textId="77777777" w:rsidR="00DA7F9C" w:rsidRDefault="00DA7F9C" w:rsidP="00E65D59">
            <w:pPr>
              <w:ind w:left="360"/>
              <w:rPr>
                <w:sz w:val="22"/>
                <w:szCs w:val="22"/>
              </w:rPr>
            </w:pPr>
          </w:p>
          <w:p w14:paraId="1728B11B" w14:textId="77777777" w:rsidR="00654481" w:rsidRDefault="00654481" w:rsidP="00E65D59">
            <w:pPr>
              <w:ind w:left="360"/>
              <w:rPr>
                <w:sz w:val="22"/>
                <w:szCs w:val="22"/>
              </w:rPr>
            </w:pPr>
          </w:p>
          <w:p w14:paraId="0F1F0BFD" w14:textId="77777777" w:rsidR="00654481" w:rsidRPr="009D07C7" w:rsidRDefault="00654481" w:rsidP="00E65D59">
            <w:pPr>
              <w:ind w:left="360"/>
              <w:rPr>
                <w:sz w:val="22"/>
                <w:szCs w:val="22"/>
              </w:rPr>
            </w:pPr>
          </w:p>
          <w:p w14:paraId="351B9EB6" w14:textId="77777777" w:rsidR="00DA7F9C" w:rsidRPr="009D07C7" w:rsidRDefault="00DA7F9C" w:rsidP="00E65D59">
            <w:pPr>
              <w:ind w:left="360"/>
              <w:rPr>
                <w:sz w:val="22"/>
                <w:szCs w:val="22"/>
              </w:rPr>
            </w:pPr>
          </w:p>
          <w:p w14:paraId="7FA46FA0" w14:textId="77777777" w:rsidR="00DA7F9C" w:rsidRPr="009D07C7" w:rsidRDefault="00DA7F9C" w:rsidP="002C4871">
            <w:pPr>
              <w:numPr>
                <w:ilvl w:val="0"/>
                <w:numId w:val="5"/>
              </w:numPr>
              <w:jc w:val="center"/>
              <w:rPr>
                <w:sz w:val="22"/>
                <w:szCs w:val="22"/>
              </w:rPr>
            </w:pPr>
            <w:r w:rsidRPr="009D07C7">
              <w:rPr>
                <w:sz w:val="22"/>
                <w:szCs w:val="22"/>
              </w:rPr>
              <w:t>5%</w:t>
            </w:r>
            <w:r w:rsidR="003C4617" w:rsidRPr="009D07C7">
              <w:rPr>
                <w:sz w:val="22"/>
                <w:szCs w:val="22"/>
              </w:rPr>
              <w:t xml:space="preserve"> </w:t>
            </w:r>
            <w:r w:rsidR="00A30975" w:rsidRPr="009D07C7">
              <w:rPr>
                <w:sz w:val="22"/>
                <w:szCs w:val="22"/>
              </w:rPr>
              <w:t>atbilstoši aprēķinam pie a) un b) punktiem</w:t>
            </w:r>
          </w:p>
        </w:tc>
      </w:tr>
      <w:tr w:rsidR="00DD563F" w:rsidRPr="009D07C7" w14:paraId="7F940880" w14:textId="77777777" w:rsidTr="005E1781">
        <w:trPr>
          <w:trHeight w:val="615"/>
        </w:trPr>
        <w:tc>
          <w:tcPr>
            <w:tcW w:w="276" w:type="pct"/>
            <w:tcBorders>
              <w:bottom w:val="single" w:sz="4" w:space="0" w:color="auto"/>
            </w:tcBorders>
          </w:tcPr>
          <w:p w14:paraId="61BB57D1" w14:textId="77777777" w:rsidR="00DD563F" w:rsidRPr="009D07C7" w:rsidRDefault="00DD563F" w:rsidP="00E65D59">
            <w:pPr>
              <w:numPr>
                <w:ilvl w:val="0"/>
                <w:numId w:val="1"/>
              </w:numPr>
              <w:rPr>
                <w:sz w:val="22"/>
                <w:szCs w:val="22"/>
              </w:rPr>
            </w:pPr>
          </w:p>
        </w:tc>
        <w:tc>
          <w:tcPr>
            <w:tcW w:w="1726" w:type="pct"/>
            <w:tcBorders>
              <w:bottom w:val="single" w:sz="4" w:space="0" w:color="auto"/>
            </w:tcBorders>
          </w:tcPr>
          <w:p w14:paraId="6B24E4F5" w14:textId="77777777" w:rsidR="00DD563F" w:rsidRPr="00654481" w:rsidRDefault="00DD563F" w:rsidP="00E65D59">
            <w:pPr>
              <w:rPr>
                <w:b/>
                <w:sz w:val="22"/>
                <w:szCs w:val="22"/>
              </w:rPr>
            </w:pPr>
            <w:r w:rsidRPr="00654481">
              <w:rPr>
                <w:b/>
                <w:sz w:val="22"/>
                <w:szCs w:val="22"/>
              </w:rPr>
              <w:t>Krāpšana</w:t>
            </w:r>
            <w:r w:rsidR="00D84A37">
              <w:rPr>
                <w:rStyle w:val="FootnoteReference"/>
                <w:b/>
                <w:sz w:val="22"/>
                <w:szCs w:val="22"/>
              </w:rPr>
              <w:footnoteReference w:id="6"/>
            </w:r>
          </w:p>
          <w:p w14:paraId="01708AC3" w14:textId="77777777" w:rsidR="00DD563F" w:rsidRPr="009D07C7" w:rsidRDefault="00DD563F" w:rsidP="004B6C02">
            <w:pPr>
              <w:pStyle w:val="Default"/>
              <w:jc w:val="both"/>
              <w:rPr>
                <w:rFonts w:ascii="Times New Roman" w:hAnsi="Times New Roman" w:cs="Times New Roman"/>
                <w:sz w:val="22"/>
                <w:szCs w:val="22"/>
              </w:rPr>
            </w:pPr>
            <w:r w:rsidRPr="009D07C7">
              <w:rPr>
                <w:rFonts w:ascii="Times New Roman" w:hAnsi="Times New Roman" w:cs="Times New Roman"/>
                <w:color w:val="auto"/>
                <w:sz w:val="22"/>
                <w:szCs w:val="22"/>
              </w:rPr>
              <w:t xml:space="preserve">Krāpšanas gadījumi uzskatāmi par nopietnu pārkāpumu. </w:t>
            </w:r>
            <w:r w:rsidRPr="009D07C7">
              <w:rPr>
                <w:rFonts w:ascii="Times New Roman" w:hAnsi="Times New Roman" w:cs="Times New Roman"/>
                <w:sz w:val="22"/>
                <w:szCs w:val="22"/>
              </w:rPr>
              <w:t xml:space="preserve">Līguma </w:t>
            </w:r>
            <w:r w:rsidR="00810AD0" w:rsidRPr="009D07C7">
              <w:rPr>
                <w:rFonts w:ascii="Times New Roman" w:hAnsi="Times New Roman" w:cs="Times New Roman"/>
                <w:sz w:val="22"/>
                <w:szCs w:val="22"/>
              </w:rPr>
              <w:t>325</w:t>
            </w:r>
            <w:r w:rsidR="00536D59">
              <w:rPr>
                <w:rFonts w:ascii="Times New Roman" w:hAnsi="Times New Roman" w:cs="Times New Roman"/>
                <w:sz w:val="22"/>
                <w:szCs w:val="22"/>
              </w:rPr>
              <w:t>.</w:t>
            </w:r>
            <w:r w:rsidRPr="009D07C7">
              <w:rPr>
                <w:rFonts w:ascii="Times New Roman" w:hAnsi="Times New Roman" w:cs="Times New Roman"/>
                <w:sz w:val="22"/>
                <w:szCs w:val="22"/>
              </w:rPr>
              <w:t xml:space="preserve">pantā izvirzīts noteikums </w:t>
            </w:r>
            <w:r w:rsidR="00DB6BB6">
              <w:rPr>
                <w:rFonts w:ascii="Times New Roman" w:hAnsi="Times New Roman" w:cs="Times New Roman"/>
                <w:sz w:val="22"/>
                <w:szCs w:val="22"/>
              </w:rPr>
              <w:t>ES</w:t>
            </w:r>
            <w:r w:rsidRPr="009D07C7">
              <w:rPr>
                <w:rFonts w:ascii="Times New Roman" w:hAnsi="Times New Roman" w:cs="Times New Roman"/>
                <w:sz w:val="22"/>
                <w:szCs w:val="22"/>
              </w:rPr>
              <w:t xml:space="preserve"> un dalībvalstīm apkarot krāpšanu un citādu nelegālu darbību, kas apdraud </w:t>
            </w:r>
            <w:r w:rsidR="00DB6BB6">
              <w:rPr>
                <w:rFonts w:ascii="Times New Roman" w:hAnsi="Times New Roman" w:cs="Times New Roman"/>
                <w:sz w:val="22"/>
                <w:szCs w:val="22"/>
              </w:rPr>
              <w:t xml:space="preserve">ES </w:t>
            </w:r>
            <w:r w:rsidRPr="009D07C7">
              <w:rPr>
                <w:rFonts w:ascii="Times New Roman" w:hAnsi="Times New Roman" w:cs="Times New Roman"/>
                <w:sz w:val="22"/>
                <w:szCs w:val="22"/>
              </w:rPr>
              <w:t xml:space="preserve"> finanšu intereses. Turklāt saskaņā ar Padomes </w:t>
            </w:r>
            <w:r w:rsidR="00BB6B82" w:rsidRPr="009D07C7">
              <w:rPr>
                <w:rFonts w:ascii="Times New Roman" w:hAnsi="Times New Roman" w:cs="Times New Roman"/>
                <w:sz w:val="22"/>
                <w:szCs w:val="22"/>
              </w:rPr>
              <w:t>Regul</w:t>
            </w:r>
            <w:r w:rsidR="00BB6B82">
              <w:rPr>
                <w:rFonts w:ascii="Times New Roman" w:hAnsi="Times New Roman" w:cs="Times New Roman"/>
                <w:sz w:val="22"/>
                <w:szCs w:val="22"/>
              </w:rPr>
              <w:t>u</w:t>
            </w:r>
            <w:r w:rsidR="00BB6B82" w:rsidRPr="009D07C7">
              <w:rPr>
                <w:rFonts w:ascii="Times New Roman" w:hAnsi="Times New Roman" w:cs="Times New Roman"/>
                <w:sz w:val="22"/>
                <w:szCs w:val="22"/>
              </w:rPr>
              <w:t xml:space="preserve"> </w:t>
            </w:r>
            <w:r w:rsidRPr="009D07C7">
              <w:rPr>
                <w:rFonts w:ascii="Times New Roman" w:hAnsi="Times New Roman" w:cs="Times New Roman"/>
                <w:sz w:val="22"/>
                <w:szCs w:val="22"/>
              </w:rPr>
              <w:t xml:space="preserve">(EK, </w:t>
            </w:r>
            <w:r w:rsidRPr="009D07C7">
              <w:rPr>
                <w:rFonts w:ascii="Times New Roman" w:hAnsi="Times New Roman" w:cs="Times New Roman"/>
                <w:i/>
                <w:iCs/>
                <w:sz w:val="22"/>
                <w:szCs w:val="22"/>
              </w:rPr>
              <w:t>Euratom</w:t>
            </w:r>
            <w:r w:rsidRPr="009D07C7">
              <w:rPr>
                <w:rFonts w:ascii="Times New Roman" w:hAnsi="Times New Roman" w:cs="Times New Roman"/>
                <w:sz w:val="22"/>
                <w:szCs w:val="22"/>
              </w:rPr>
              <w:t xml:space="preserve">) </w:t>
            </w:r>
            <w:r w:rsidR="00536D59">
              <w:rPr>
                <w:rFonts w:ascii="Times New Roman" w:hAnsi="Times New Roman" w:cs="Times New Roman"/>
                <w:sz w:val="22"/>
                <w:szCs w:val="22"/>
              </w:rPr>
              <w:t>Nr.</w:t>
            </w:r>
            <w:r w:rsidR="007A1014" w:rsidRPr="007A1014">
              <w:rPr>
                <w:rFonts w:ascii="Times New Roman" w:hAnsi="Times New Roman" w:cs="Times New Roman"/>
                <w:sz w:val="22"/>
                <w:szCs w:val="22"/>
              </w:rPr>
              <w:t xml:space="preserve">966/2012 </w:t>
            </w:r>
            <w:r w:rsidRPr="009D07C7">
              <w:rPr>
                <w:rFonts w:ascii="Times New Roman" w:hAnsi="Times New Roman" w:cs="Times New Roman"/>
                <w:sz w:val="22"/>
                <w:szCs w:val="22"/>
              </w:rPr>
              <w:t xml:space="preserve">par Finanšu regulu, ko piemēro </w:t>
            </w:r>
            <w:r w:rsidR="008244CD">
              <w:rPr>
                <w:rFonts w:ascii="Times New Roman" w:hAnsi="Times New Roman" w:cs="Times New Roman"/>
                <w:sz w:val="22"/>
                <w:szCs w:val="22"/>
              </w:rPr>
              <w:t>ES</w:t>
            </w:r>
            <w:r w:rsidRPr="009D07C7">
              <w:rPr>
                <w:rFonts w:ascii="Times New Roman" w:hAnsi="Times New Roman" w:cs="Times New Roman"/>
                <w:sz w:val="22"/>
                <w:szCs w:val="22"/>
              </w:rPr>
              <w:t xml:space="preserve"> vispārējam budžetam, dalītajā pārvaldībā dalībvalstis ir atbildīgas par pārkāpumu un krāpšanas novēršanu un ar to saistītu jautājumu risināšanu. Saskaņā ar dalītas pārvaldības tiesisko regulējumu, lai aizsargātu </w:t>
            </w:r>
            <w:r w:rsidR="00DB6BB6">
              <w:rPr>
                <w:rFonts w:ascii="Times New Roman" w:hAnsi="Times New Roman" w:cs="Times New Roman"/>
                <w:sz w:val="22"/>
                <w:szCs w:val="22"/>
              </w:rPr>
              <w:t xml:space="preserve">ES </w:t>
            </w:r>
            <w:r w:rsidRPr="009D07C7">
              <w:rPr>
                <w:rFonts w:ascii="Times New Roman" w:hAnsi="Times New Roman" w:cs="Times New Roman"/>
                <w:sz w:val="22"/>
                <w:szCs w:val="22"/>
              </w:rPr>
              <w:t xml:space="preserve"> finanšu intereses, dalībvalstis galvenokārt ir atbildīgas par tādu vadības un kontroles sistēmu izveidi, kas atbilst </w:t>
            </w:r>
            <w:r w:rsidR="00DB6BB6">
              <w:rPr>
                <w:rFonts w:ascii="Times New Roman" w:hAnsi="Times New Roman" w:cs="Times New Roman"/>
                <w:sz w:val="22"/>
                <w:szCs w:val="22"/>
              </w:rPr>
              <w:t>ES</w:t>
            </w:r>
            <w:r w:rsidRPr="009D07C7">
              <w:rPr>
                <w:rFonts w:ascii="Times New Roman" w:hAnsi="Times New Roman" w:cs="Times New Roman"/>
                <w:sz w:val="22"/>
                <w:szCs w:val="22"/>
              </w:rPr>
              <w:t xml:space="preserve"> tiesību prasībām, un norīko revīzijas iestādes, kas pārbauda šo sistēmu darbības efektivitāti, lai nepieļautu un konstatētu krāpšanu un labotu pārkāpumus. </w:t>
            </w:r>
            <w:r w:rsidR="00BB6B82">
              <w:rPr>
                <w:rFonts w:ascii="Times New Roman" w:hAnsi="Times New Roman" w:cs="Times New Roman"/>
                <w:sz w:val="22"/>
                <w:szCs w:val="22"/>
              </w:rPr>
              <w:t>Neatbilstību</w:t>
            </w:r>
            <w:r w:rsidR="00BB6B82" w:rsidRPr="009D07C7">
              <w:rPr>
                <w:rFonts w:ascii="Times New Roman" w:hAnsi="Times New Roman" w:cs="Times New Roman"/>
                <w:sz w:val="22"/>
                <w:szCs w:val="22"/>
              </w:rPr>
              <w:t xml:space="preserve"> </w:t>
            </w:r>
            <w:r w:rsidRPr="009D07C7">
              <w:rPr>
                <w:rFonts w:ascii="Times New Roman" w:hAnsi="Times New Roman" w:cs="Times New Roman"/>
                <w:sz w:val="22"/>
                <w:szCs w:val="22"/>
              </w:rPr>
              <w:t>vai aizdomu par krāpšanu</w:t>
            </w:r>
            <w:r w:rsidR="00603709">
              <w:rPr>
                <w:rStyle w:val="FootnoteReference"/>
                <w:rFonts w:ascii="Times New Roman" w:hAnsi="Times New Roman" w:cs="Times New Roman"/>
                <w:sz w:val="22"/>
                <w:szCs w:val="22"/>
              </w:rPr>
              <w:footnoteReference w:id="7"/>
            </w:r>
            <w:r w:rsidRPr="009D07C7">
              <w:rPr>
                <w:rFonts w:ascii="Times New Roman" w:hAnsi="Times New Roman" w:cs="Times New Roman"/>
                <w:sz w:val="22"/>
                <w:szCs w:val="22"/>
              </w:rPr>
              <w:t xml:space="preserve"> gadījumā Komisija jāinformē saskaņā ar ziņošanas procedūru, ko nosaka </w:t>
            </w:r>
            <w:r w:rsidR="003F0E9A" w:rsidRPr="003F0E9A">
              <w:rPr>
                <w:rFonts w:ascii="Times New Roman" w:hAnsi="Times New Roman" w:cs="Times New Roman"/>
                <w:sz w:val="22"/>
                <w:szCs w:val="22"/>
              </w:rPr>
              <w:t xml:space="preserve">Eiropas Komisijas 2015.gada 8.jūlija  </w:t>
            </w:r>
            <w:r w:rsidR="004B6C02" w:rsidRPr="004B6C02">
              <w:rPr>
                <w:rFonts w:ascii="Times New Roman" w:hAnsi="Times New Roman" w:cs="Times New Roman"/>
                <w:sz w:val="22"/>
                <w:szCs w:val="22"/>
              </w:rPr>
              <w:t>Deleģētā regula (ES) Nr.2015/1970</w:t>
            </w:r>
            <w:r w:rsidR="004B6C02">
              <w:rPr>
                <w:rFonts w:ascii="Times New Roman" w:hAnsi="Times New Roman" w:cs="Times New Roman"/>
                <w:sz w:val="22"/>
                <w:szCs w:val="22"/>
              </w:rPr>
              <w:t xml:space="preserve">, </w:t>
            </w:r>
            <w:r w:rsidR="004B6C02" w:rsidRPr="004B6C02">
              <w:rPr>
                <w:rFonts w:ascii="Times New Roman" w:hAnsi="Times New Roman" w:cs="Times New Roman"/>
                <w:sz w:val="22"/>
                <w:szCs w:val="22"/>
              </w:rPr>
              <w:t>ar ko papildina Eiropas Parlamenta un Padomes Regulu (ES) Nr.1303/2013 ar īpašiem noteikumiem par ziņošanu par pārkāpumiem attiecībā uz Eiropas Reģionālās attīstības fondu, Eiropas Sociālo fondu, Kohēzijas fondu un Eiropas Jūrlietu un zivsaimniecības fondu</w:t>
            </w:r>
            <w:r w:rsidR="004B6C02" w:rsidRPr="004B6C02" w:rsidDel="004B6C02">
              <w:rPr>
                <w:rFonts w:ascii="Times New Roman" w:hAnsi="Times New Roman" w:cs="Times New Roman"/>
                <w:sz w:val="22"/>
                <w:szCs w:val="22"/>
              </w:rPr>
              <w:t xml:space="preserve"> </w:t>
            </w:r>
            <w:r w:rsidR="003F0E9A">
              <w:rPr>
                <w:rFonts w:ascii="Times New Roman" w:hAnsi="Times New Roman" w:cs="Times New Roman"/>
                <w:sz w:val="22"/>
                <w:szCs w:val="22"/>
              </w:rPr>
              <w:t xml:space="preserve">un </w:t>
            </w:r>
            <w:r w:rsidR="003F0E9A" w:rsidRPr="003F0E9A">
              <w:rPr>
                <w:rFonts w:ascii="Times New Roman" w:hAnsi="Times New Roman" w:cs="Times New Roman"/>
                <w:sz w:val="22"/>
                <w:szCs w:val="22"/>
              </w:rPr>
              <w:t xml:space="preserve">Eiropas Komisijas 2015.gada 8.jūlija  </w:t>
            </w:r>
            <w:r w:rsidR="004B6C02" w:rsidRPr="004B6C02">
              <w:rPr>
                <w:rFonts w:ascii="Times New Roman" w:hAnsi="Times New Roman" w:cs="Times New Roman"/>
                <w:sz w:val="22"/>
                <w:szCs w:val="22"/>
              </w:rPr>
              <w:t>Īstenošanas regula (ES) Nr.2015/1974, ar ko nosaka ziņošanas par pārkāpumiem biežumu un formātu attiecībā uz Eiropas Reģionālās attīstības fondu, Eiropas Sociālo fondu, Kohēzijas fondu un Eiropas Jūrlietu un zivsaimniecības fondu saskaņā ar Eiropas Parlamenta un Padomes Regulu (ES) Nr.1303/2013</w:t>
            </w:r>
            <w:r w:rsidR="003F0E9A">
              <w:rPr>
                <w:rFonts w:ascii="Times New Roman" w:hAnsi="Times New Roman" w:cs="Times New Roman"/>
                <w:sz w:val="22"/>
                <w:szCs w:val="22"/>
              </w:rPr>
              <w:t xml:space="preserve">. </w:t>
            </w:r>
            <w:r w:rsidRPr="009D07C7">
              <w:rPr>
                <w:rFonts w:ascii="Times New Roman" w:hAnsi="Times New Roman" w:cs="Times New Roman"/>
                <w:sz w:val="22"/>
                <w:szCs w:val="22"/>
              </w:rPr>
              <w:t xml:space="preserve">Atbilstoši 18.02.2009. Eiropas Komisijas „Informatīvam paziņojumam par krāpšanas pazīmēm attiecībā uz ERAF, ESF un KF” </w:t>
            </w:r>
            <w:r w:rsidRPr="009D07C7">
              <w:rPr>
                <w:rFonts w:ascii="Times New Roman" w:hAnsi="Times New Roman" w:cs="Times New Roman"/>
                <w:sz w:val="22"/>
                <w:szCs w:val="22"/>
                <w:u w:val="single"/>
              </w:rPr>
              <w:t xml:space="preserve">neatkarīgi no tā, vai pārkāpums ir netīšs vai tīšs (krāpšana), ar to saistītie izdevumi jāizslēdz no </w:t>
            </w:r>
            <w:r w:rsidR="00DB6BB6">
              <w:rPr>
                <w:rFonts w:ascii="Times New Roman" w:hAnsi="Times New Roman" w:cs="Times New Roman"/>
                <w:sz w:val="22"/>
                <w:szCs w:val="22"/>
                <w:u w:val="single"/>
              </w:rPr>
              <w:t>ES</w:t>
            </w:r>
            <w:r w:rsidR="00DB6BB6" w:rsidRPr="009D07C7">
              <w:rPr>
                <w:rFonts w:ascii="Times New Roman" w:hAnsi="Times New Roman" w:cs="Times New Roman"/>
                <w:sz w:val="22"/>
                <w:szCs w:val="22"/>
                <w:u w:val="single"/>
              </w:rPr>
              <w:t xml:space="preserve"> </w:t>
            </w:r>
            <w:r w:rsidRPr="009D07C7">
              <w:rPr>
                <w:rFonts w:ascii="Times New Roman" w:hAnsi="Times New Roman" w:cs="Times New Roman"/>
                <w:sz w:val="22"/>
                <w:szCs w:val="22"/>
                <w:u w:val="single"/>
              </w:rPr>
              <w:t>budžeta līdzfinansējuma</w:t>
            </w:r>
            <w:r w:rsidRPr="009D07C7">
              <w:rPr>
                <w:rFonts w:ascii="Times New Roman" w:hAnsi="Times New Roman" w:cs="Times New Roman"/>
                <w:sz w:val="22"/>
                <w:szCs w:val="22"/>
              </w:rPr>
              <w:t>.</w:t>
            </w:r>
          </w:p>
        </w:tc>
        <w:tc>
          <w:tcPr>
            <w:tcW w:w="2086" w:type="pct"/>
            <w:gridSpan w:val="2"/>
            <w:tcBorders>
              <w:bottom w:val="single" w:sz="4" w:space="0" w:color="auto"/>
            </w:tcBorders>
          </w:tcPr>
          <w:p w14:paraId="558802C7" w14:textId="291C68EE" w:rsidR="00DD563F" w:rsidRDefault="00DD563F" w:rsidP="00E65D59">
            <w:pPr>
              <w:pStyle w:val="Default"/>
              <w:jc w:val="both"/>
              <w:rPr>
                <w:rFonts w:ascii="Times New Roman" w:hAnsi="Times New Roman" w:cs="Times New Roman"/>
                <w:sz w:val="22"/>
                <w:szCs w:val="22"/>
              </w:rPr>
            </w:pPr>
            <w:r w:rsidRPr="009D07C7">
              <w:rPr>
                <w:rFonts w:ascii="Times New Roman" w:hAnsi="Times New Roman" w:cs="Times New Roman"/>
                <w:sz w:val="22"/>
                <w:szCs w:val="22"/>
              </w:rPr>
              <w:t>Krāpšanas gadījumu piemēri detalizēti ir paskaidroti 18.02.2009. Eiropas Komisijas „Informatīvajā paziņojumā par krāpšanas pazīmēm attiecībā uz ERAF, ESF un KF” (</w:t>
            </w:r>
            <w:hyperlink r:id="rId8" w:history="1">
              <w:r w:rsidRPr="009D07C7">
                <w:rPr>
                  <w:rStyle w:val="Hyperlink"/>
                  <w:rFonts w:ascii="Times New Roman" w:hAnsi="Times New Roman" w:cs="Times New Roman"/>
                  <w:sz w:val="22"/>
                  <w:szCs w:val="22"/>
                </w:rPr>
                <w:t>http://www.esfondi.lv/page.php?id=1017</w:t>
              </w:r>
            </w:hyperlink>
            <w:r w:rsidRPr="009D07C7">
              <w:rPr>
                <w:rFonts w:ascii="Times New Roman" w:hAnsi="Times New Roman" w:cs="Times New Roman"/>
                <w:sz w:val="22"/>
                <w:szCs w:val="22"/>
              </w:rPr>
              <w:t xml:space="preserve"> ).</w:t>
            </w:r>
          </w:p>
          <w:p w14:paraId="41F228A2" w14:textId="77777777" w:rsidR="00C10A64" w:rsidRPr="009D07C7" w:rsidRDefault="00C10A64" w:rsidP="00E65D59">
            <w:pPr>
              <w:pStyle w:val="Default"/>
              <w:jc w:val="both"/>
              <w:rPr>
                <w:rFonts w:ascii="Times New Roman" w:hAnsi="Times New Roman" w:cs="Times New Roman"/>
                <w:sz w:val="22"/>
                <w:szCs w:val="22"/>
              </w:rPr>
            </w:pPr>
          </w:p>
          <w:p w14:paraId="5D4CEFC6" w14:textId="77777777" w:rsidR="00873DB3" w:rsidRPr="00C10A64" w:rsidRDefault="00BA3A07" w:rsidP="00BA3A07">
            <w:pPr>
              <w:jc w:val="both"/>
              <w:rPr>
                <w:i/>
                <w:sz w:val="22"/>
                <w:szCs w:val="22"/>
              </w:rPr>
            </w:pPr>
            <w:r w:rsidRPr="00C10A64">
              <w:rPr>
                <w:i/>
                <w:sz w:val="22"/>
                <w:szCs w:val="22"/>
              </w:rPr>
              <w:t xml:space="preserve">Piemēram, ja krāpnieciskas darbības ir atklātas tikai renovācijas darbu organizēšanā, kas nav tieši saistīta ar citām projekta </w:t>
            </w:r>
            <w:r w:rsidR="00950C8C" w:rsidRPr="00C10A64">
              <w:rPr>
                <w:i/>
                <w:sz w:val="22"/>
                <w:szCs w:val="22"/>
              </w:rPr>
              <w:t>darbībām</w:t>
            </w:r>
            <w:r w:rsidRPr="00C10A64">
              <w:rPr>
                <w:i/>
                <w:sz w:val="22"/>
                <w:szCs w:val="22"/>
              </w:rPr>
              <w:t xml:space="preserve">, piemēram, aprīkojuma iegādi un uzstādīšanu, tad </w:t>
            </w:r>
            <w:r w:rsidR="00873DB3" w:rsidRPr="00C10A64">
              <w:rPr>
                <w:i/>
                <w:sz w:val="22"/>
                <w:szCs w:val="22"/>
              </w:rPr>
              <w:t xml:space="preserve">finanšu </w:t>
            </w:r>
            <w:r w:rsidRPr="00C10A64">
              <w:rPr>
                <w:i/>
                <w:sz w:val="22"/>
                <w:szCs w:val="22"/>
              </w:rPr>
              <w:t xml:space="preserve">korekciju piemēro tikai izdevumiem, kas saistīti ar renovācijas darbu organizēšanu. Jāizvērtē katrs gadījums atsevišķi, proti, jāizvērtē, kādu izdevumu daļu skar krāpnieciskās darbības. </w:t>
            </w:r>
          </w:p>
          <w:p w14:paraId="6B97582B" w14:textId="6D369498" w:rsidR="00BA3A07" w:rsidRPr="00C10A64" w:rsidRDefault="00BA3A07" w:rsidP="00BA3A07">
            <w:pPr>
              <w:jc w:val="both"/>
              <w:rPr>
                <w:i/>
                <w:sz w:val="22"/>
                <w:szCs w:val="22"/>
              </w:rPr>
            </w:pPr>
            <w:r w:rsidRPr="00C10A64">
              <w:rPr>
                <w:i/>
                <w:sz w:val="22"/>
                <w:szCs w:val="22"/>
              </w:rPr>
              <w:t xml:space="preserve">Ja, piemēram, krāpnieciskas darbības tiek veiktas iepirkuma laikā, visi izdevumi, kas veikti iepirkumu līguma izpildes laikā, ir atzīstami par neatbilstoši veiktiem. </w:t>
            </w:r>
          </w:p>
          <w:p w14:paraId="76DF8B76" w14:textId="77777777" w:rsidR="00C10A64" w:rsidRPr="009D07C7" w:rsidRDefault="00C10A64" w:rsidP="00C10A64">
            <w:pPr>
              <w:jc w:val="both"/>
              <w:rPr>
                <w:sz w:val="22"/>
                <w:szCs w:val="22"/>
              </w:rPr>
            </w:pPr>
            <w:r w:rsidRPr="009D07C7">
              <w:rPr>
                <w:sz w:val="22"/>
                <w:szCs w:val="22"/>
              </w:rPr>
              <w:t xml:space="preserve">Ja krāpnieciskās darbības veiktas projekta vērtēšanas laikā un tās ietekmē lēmumu par projekta apstiprināšanu, projekta īstenošanu nepieciešams pārtraukt  un atgūt </w:t>
            </w:r>
            <w:r>
              <w:rPr>
                <w:sz w:val="22"/>
                <w:szCs w:val="22"/>
              </w:rPr>
              <w:t xml:space="preserve">izmaksāto </w:t>
            </w:r>
            <w:r w:rsidRPr="009D07C7">
              <w:rPr>
                <w:sz w:val="22"/>
                <w:szCs w:val="22"/>
              </w:rPr>
              <w:t xml:space="preserve">finansējumu pilnā apmērā. </w:t>
            </w:r>
          </w:p>
          <w:p w14:paraId="3B8A8326" w14:textId="1EA06BF3" w:rsidR="00C10A64" w:rsidRPr="009D07C7" w:rsidRDefault="00C10A64" w:rsidP="00BA3A07">
            <w:pPr>
              <w:jc w:val="both"/>
              <w:rPr>
                <w:sz w:val="22"/>
                <w:szCs w:val="22"/>
              </w:rPr>
            </w:pPr>
          </w:p>
          <w:p w14:paraId="23A022ED" w14:textId="77777777" w:rsidR="00C10A64" w:rsidRDefault="00C10A64" w:rsidP="00873DB3">
            <w:pPr>
              <w:jc w:val="both"/>
              <w:rPr>
                <w:b/>
                <w:sz w:val="22"/>
                <w:szCs w:val="22"/>
              </w:rPr>
            </w:pPr>
          </w:p>
          <w:p w14:paraId="3AE0D704" w14:textId="4B3F05B3" w:rsidR="008C4C1D" w:rsidRDefault="00583E07" w:rsidP="00873DB3">
            <w:pPr>
              <w:jc w:val="both"/>
              <w:rPr>
                <w:b/>
                <w:sz w:val="22"/>
                <w:szCs w:val="22"/>
              </w:rPr>
            </w:pPr>
            <w:r w:rsidRPr="00583E07">
              <w:rPr>
                <w:b/>
                <w:sz w:val="22"/>
                <w:szCs w:val="22"/>
              </w:rPr>
              <w:t>Aizliegtas vienošanās gadījumā</w:t>
            </w:r>
            <w:r w:rsidR="008C4C1D">
              <w:rPr>
                <w:b/>
                <w:sz w:val="22"/>
                <w:szCs w:val="22"/>
              </w:rPr>
              <w:t>:</w:t>
            </w:r>
          </w:p>
          <w:p w14:paraId="797E1D90" w14:textId="2B25A92D" w:rsidR="00873DB3" w:rsidRPr="003B13B2" w:rsidRDefault="008C4C1D" w:rsidP="00873DB3">
            <w:pPr>
              <w:jc w:val="both"/>
              <w:rPr>
                <w:sz w:val="22"/>
                <w:szCs w:val="22"/>
              </w:rPr>
            </w:pPr>
            <w:r>
              <w:rPr>
                <w:sz w:val="22"/>
                <w:szCs w:val="22"/>
              </w:rPr>
              <w:t>V</w:t>
            </w:r>
            <w:r w:rsidR="00583E07" w:rsidRPr="00583E07">
              <w:rPr>
                <w:sz w:val="22"/>
                <w:szCs w:val="22"/>
              </w:rPr>
              <w:t>isi gadījumi ir sūtāmi Konkurences padomei izvērtēšanai</w:t>
            </w:r>
            <w:r w:rsidR="00583E07" w:rsidRPr="00583E07">
              <w:rPr>
                <w:b/>
                <w:sz w:val="22"/>
                <w:szCs w:val="22"/>
              </w:rPr>
              <w:t xml:space="preserve">, </w:t>
            </w:r>
            <w:r w:rsidR="00583E07" w:rsidRPr="003B13B2">
              <w:rPr>
                <w:sz w:val="22"/>
                <w:szCs w:val="22"/>
              </w:rPr>
              <w:t xml:space="preserve">jo </w:t>
            </w:r>
            <w:r w:rsidR="00873DB3" w:rsidRPr="003B13B2">
              <w:rPr>
                <w:sz w:val="22"/>
                <w:szCs w:val="22"/>
              </w:rPr>
              <w:t xml:space="preserve">tikai Konkurences padome var noteikt to, </w:t>
            </w:r>
            <w:r>
              <w:rPr>
                <w:sz w:val="22"/>
                <w:szCs w:val="22"/>
              </w:rPr>
              <w:t>kas</w:t>
            </w:r>
            <w:r w:rsidR="00873DB3" w:rsidRPr="003B13B2">
              <w:rPr>
                <w:sz w:val="22"/>
                <w:szCs w:val="22"/>
              </w:rPr>
              <w:t xml:space="preserve"> ir bijis iesaistīts aizliegtajā vienošanās.</w:t>
            </w:r>
          </w:p>
          <w:p w14:paraId="4AC0F253" w14:textId="477CFD70" w:rsidR="003E228B" w:rsidRPr="005C2D3C" w:rsidRDefault="003E228B" w:rsidP="003E228B">
            <w:pPr>
              <w:jc w:val="both"/>
              <w:rPr>
                <w:sz w:val="22"/>
                <w:szCs w:val="22"/>
              </w:rPr>
            </w:pPr>
            <w:r w:rsidRPr="003E228B">
              <w:rPr>
                <w:sz w:val="22"/>
                <w:szCs w:val="22"/>
              </w:rPr>
              <w:t>Kā “Krāpšana” norādāms gadījums, ja saskaņā ar Konkurences padomes lēmumu</w:t>
            </w:r>
            <w:r w:rsidRPr="003E228B">
              <w:rPr>
                <w:b/>
                <w:sz w:val="22"/>
                <w:szCs w:val="22"/>
              </w:rPr>
              <w:t xml:space="preserve"> </w:t>
            </w:r>
            <w:r w:rsidRPr="00FE4474">
              <w:rPr>
                <w:sz w:val="22"/>
                <w:szCs w:val="22"/>
              </w:rPr>
              <w:t xml:space="preserve">iepirkumā ir uzvarējis pretendents, kam bijusi aizliegta vienošanās (iesaistīts cenas noteikšanā) un </w:t>
            </w:r>
            <w:r w:rsidRPr="00FE4474">
              <w:rPr>
                <w:b/>
                <w:sz w:val="22"/>
                <w:szCs w:val="22"/>
              </w:rPr>
              <w:t>kāds ES fondu administrēšanā iesaistīts pārstāvis vai finansējuma saņēmējs ir piedalījies cenas noteikšanā</w:t>
            </w:r>
            <w:r w:rsidRPr="003E228B">
              <w:rPr>
                <w:sz w:val="22"/>
                <w:szCs w:val="22"/>
              </w:rPr>
              <w:t xml:space="preserve"> un konsultējis </w:t>
            </w:r>
            <w:r w:rsidRPr="005C2D3C">
              <w:rPr>
                <w:sz w:val="22"/>
                <w:szCs w:val="22"/>
              </w:rPr>
              <w:t>pretendentu</w:t>
            </w:r>
            <w:r w:rsidR="005C2D3C" w:rsidRPr="005C2D3C">
              <w:rPr>
                <w:sz w:val="22"/>
                <w:szCs w:val="22"/>
              </w:rPr>
              <w:t>(-s)</w:t>
            </w:r>
            <w:r w:rsidRPr="005C2D3C">
              <w:rPr>
                <w:sz w:val="22"/>
                <w:szCs w:val="22"/>
              </w:rPr>
              <w:t>.</w:t>
            </w:r>
          </w:p>
          <w:p w14:paraId="5E0465D6" w14:textId="77777777" w:rsidR="003E228B" w:rsidRDefault="003E228B" w:rsidP="003E228B">
            <w:pPr>
              <w:jc w:val="both"/>
              <w:rPr>
                <w:i/>
                <w:sz w:val="22"/>
                <w:szCs w:val="22"/>
              </w:rPr>
            </w:pPr>
          </w:p>
          <w:p w14:paraId="671D418D" w14:textId="5158FD90" w:rsidR="003E228B" w:rsidRPr="003E228B" w:rsidRDefault="003E228B" w:rsidP="003E228B">
            <w:pPr>
              <w:jc w:val="both"/>
              <w:rPr>
                <w:i/>
                <w:sz w:val="22"/>
                <w:szCs w:val="22"/>
              </w:rPr>
            </w:pPr>
            <w:r w:rsidRPr="003E228B">
              <w:rPr>
                <w:i/>
                <w:sz w:val="22"/>
                <w:szCs w:val="22"/>
              </w:rPr>
              <w:t xml:space="preserve">Ja, saņemot Konkurences padomes lēmumu, secināts, ka iepirkumā ir </w:t>
            </w:r>
            <w:r w:rsidRPr="003E228B">
              <w:rPr>
                <w:i/>
                <w:sz w:val="22"/>
                <w:szCs w:val="22"/>
                <w:u w:val="single"/>
              </w:rPr>
              <w:t>uzvarējis pretendents, kam bijusi aizliegta vienošanās</w:t>
            </w:r>
            <w:r w:rsidRPr="003E228B">
              <w:rPr>
                <w:i/>
                <w:sz w:val="22"/>
                <w:szCs w:val="22"/>
              </w:rPr>
              <w:t xml:space="preserve"> (iesaistīts cenas noteikšanā), taču </w:t>
            </w:r>
            <w:r w:rsidRPr="003E228B">
              <w:rPr>
                <w:i/>
                <w:sz w:val="22"/>
                <w:szCs w:val="22"/>
                <w:u w:val="single"/>
              </w:rPr>
              <w:t xml:space="preserve">neviens ES fondu administrēšanā iesaistīts pārstāvis vai finansējuma saņēmējs nav piedalījies cenas noteikšanā/aizliegtajā vienošanās, tad neatbilstību vērtē saskaņā ar 7.punktā aprakstīto neatbilstību/pārkāpumu  </w:t>
            </w:r>
            <w:r w:rsidRPr="003E228B">
              <w:rPr>
                <w:sz w:val="22"/>
                <w:szCs w:val="22"/>
              </w:rPr>
              <w:t>“</w:t>
            </w:r>
            <w:r w:rsidRPr="003E228B">
              <w:rPr>
                <w:b/>
                <w:sz w:val="22"/>
                <w:szCs w:val="22"/>
              </w:rPr>
              <w:t>Nav ievērotas vispārīgās Latvijas Republikas un Eiropas Savienības normatīvo aktu prasības attiecīgajā jomā</w:t>
            </w:r>
            <w:r w:rsidRPr="003E228B">
              <w:rPr>
                <w:sz w:val="22"/>
                <w:szCs w:val="22"/>
              </w:rPr>
              <w:t>”.</w:t>
            </w:r>
          </w:p>
          <w:p w14:paraId="028ACFF1" w14:textId="77777777" w:rsidR="003E228B" w:rsidRDefault="003E228B" w:rsidP="003E228B">
            <w:pPr>
              <w:pStyle w:val="ListParagraph"/>
              <w:ind w:left="-40"/>
              <w:jc w:val="both"/>
              <w:rPr>
                <w:sz w:val="22"/>
              </w:rPr>
            </w:pPr>
          </w:p>
          <w:p w14:paraId="6868B189" w14:textId="73127F65" w:rsidR="003E228B" w:rsidRPr="003E228B" w:rsidRDefault="003E228B" w:rsidP="003E228B">
            <w:pPr>
              <w:pStyle w:val="ListParagraph"/>
              <w:ind w:left="-40"/>
              <w:jc w:val="both"/>
              <w:rPr>
                <w:sz w:val="22"/>
              </w:rPr>
            </w:pPr>
          </w:p>
          <w:p w14:paraId="77D7A8C1" w14:textId="77777777" w:rsidR="009B40DC" w:rsidRPr="009D07C7" w:rsidRDefault="009B40DC" w:rsidP="003E228B">
            <w:pPr>
              <w:spacing w:after="120"/>
              <w:jc w:val="both"/>
              <w:rPr>
                <w:sz w:val="22"/>
                <w:szCs w:val="22"/>
              </w:rPr>
            </w:pPr>
          </w:p>
        </w:tc>
        <w:tc>
          <w:tcPr>
            <w:tcW w:w="912" w:type="pct"/>
            <w:tcBorders>
              <w:bottom w:val="single" w:sz="4" w:space="0" w:color="auto"/>
            </w:tcBorders>
          </w:tcPr>
          <w:p w14:paraId="2771DC57" w14:textId="77777777" w:rsidR="00DD563F" w:rsidRPr="009D07C7" w:rsidRDefault="00DD563F" w:rsidP="00E65D59">
            <w:pPr>
              <w:jc w:val="center"/>
              <w:rPr>
                <w:sz w:val="22"/>
                <w:szCs w:val="22"/>
              </w:rPr>
            </w:pPr>
            <w:r w:rsidRPr="009D07C7">
              <w:rPr>
                <w:sz w:val="22"/>
                <w:szCs w:val="22"/>
              </w:rPr>
              <w:t>100%</w:t>
            </w:r>
          </w:p>
          <w:p w14:paraId="561EC28E" w14:textId="77777777" w:rsidR="009B40DC" w:rsidRPr="009D07C7" w:rsidRDefault="009B40DC" w:rsidP="00E65D59">
            <w:pPr>
              <w:jc w:val="center"/>
              <w:rPr>
                <w:sz w:val="22"/>
                <w:szCs w:val="22"/>
              </w:rPr>
            </w:pPr>
          </w:p>
          <w:p w14:paraId="751AB054" w14:textId="77777777" w:rsidR="001D176A" w:rsidRDefault="009B40DC" w:rsidP="00A26235">
            <w:pPr>
              <w:jc w:val="both"/>
              <w:rPr>
                <w:sz w:val="22"/>
                <w:szCs w:val="22"/>
              </w:rPr>
            </w:pPr>
            <w:r w:rsidRPr="009D07C7">
              <w:rPr>
                <w:sz w:val="22"/>
                <w:szCs w:val="22"/>
              </w:rPr>
              <w:t xml:space="preserve">Finanšu korekciju piemēro izdevumiem, kas ir saistīti ar </w:t>
            </w:r>
            <w:r w:rsidR="00982E92">
              <w:rPr>
                <w:sz w:val="22"/>
                <w:szCs w:val="22"/>
              </w:rPr>
              <w:t>“Krāpšanu”</w:t>
            </w:r>
            <w:r w:rsidRPr="009D07C7">
              <w:rPr>
                <w:sz w:val="22"/>
                <w:szCs w:val="22"/>
              </w:rPr>
              <w:t xml:space="preserve"> </w:t>
            </w:r>
            <w:r w:rsidR="00C523FB">
              <w:rPr>
                <w:sz w:val="22"/>
                <w:szCs w:val="22"/>
              </w:rPr>
              <w:t>un pamatot</w:t>
            </w:r>
            <w:r w:rsidR="00982E92">
              <w:rPr>
                <w:sz w:val="22"/>
                <w:szCs w:val="22"/>
              </w:rPr>
              <w:t>u</w:t>
            </w:r>
            <w:r w:rsidR="00C523FB">
              <w:rPr>
                <w:sz w:val="22"/>
                <w:szCs w:val="22"/>
              </w:rPr>
              <w:t xml:space="preserve"> </w:t>
            </w:r>
            <w:r w:rsidR="00115806" w:rsidRPr="00115806">
              <w:rPr>
                <w:sz w:val="22"/>
                <w:szCs w:val="22"/>
              </w:rPr>
              <w:t xml:space="preserve"> </w:t>
            </w:r>
            <w:r w:rsidR="00C523FB">
              <w:rPr>
                <w:sz w:val="22"/>
                <w:szCs w:val="22"/>
              </w:rPr>
              <w:t>“</w:t>
            </w:r>
            <w:r w:rsidR="00115806" w:rsidRPr="00115806">
              <w:rPr>
                <w:sz w:val="22"/>
                <w:szCs w:val="22"/>
              </w:rPr>
              <w:t>aizdomu par krāpšanu</w:t>
            </w:r>
            <w:r w:rsidR="00C523FB">
              <w:rPr>
                <w:sz w:val="22"/>
                <w:szCs w:val="22"/>
              </w:rPr>
              <w:t>”</w:t>
            </w:r>
            <w:r w:rsidR="00115806" w:rsidRPr="00115806">
              <w:rPr>
                <w:sz w:val="22"/>
                <w:szCs w:val="22"/>
              </w:rPr>
              <w:t xml:space="preserve"> </w:t>
            </w:r>
            <w:r w:rsidR="00982E92">
              <w:rPr>
                <w:sz w:val="22"/>
                <w:szCs w:val="22"/>
              </w:rPr>
              <w:t>pārkāpuma</w:t>
            </w:r>
            <w:r w:rsidR="00982E92" w:rsidRPr="00115806">
              <w:rPr>
                <w:sz w:val="22"/>
                <w:szCs w:val="22"/>
              </w:rPr>
              <w:t xml:space="preserve"> </w:t>
            </w:r>
            <w:r w:rsidR="00115806" w:rsidRPr="00115806">
              <w:rPr>
                <w:sz w:val="22"/>
                <w:szCs w:val="22"/>
              </w:rPr>
              <w:t>gadījumos</w:t>
            </w:r>
            <w:r w:rsidR="00C523FB">
              <w:rPr>
                <w:sz w:val="22"/>
                <w:szCs w:val="22"/>
              </w:rPr>
              <w:t xml:space="preserve"> (skat. vadlīniju 2</w:t>
            </w:r>
            <w:r w:rsidR="00683EF7">
              <w:rPr>
                <w:sz w:val="22"/>
                <w:szCs w:val="22"/>
              </w:rPr>
              <w:t>4</w:t>
            </w:r>
            <w:r w:rsidR="00C523FB">
              <w:rPr>
                <w:sz w:val="22"/>
                <w:szCs w:val="22"/>
              </w:rPr>
              <w:t xml:space="preserve">.7.punkta </w:t>
            </w:r>
            <w:r w:rsidR="00683EF7">
              <w:rPr>
                <w:sz w:val="22"/>
                <w:szCs w:val="22"/>
              </w:rPr>
              <w:t>b</w:t>
            </w:r>
            <w:r w:rsidR="00C523FB">
              <w:rPr>
                <w:sz w:val="22"/>
                <w:szCs w:val="22"/>
              </w:rPr>
              <w:t>) apakšpunktu)</w:t>
            </w:r>
            <w:r w:rsidR="00115806" w:rsidRPr="00115806">
              <w:rPr>
                <w:sz w:val="22"/>
                <w:szCs w:val="22"/>
              </w:rPr>
              <w:t xml:space="preserve">.  </w:t>
            </w:r>
          </w:p>
          <w:p w14:paraId="1BEB7231" w14:textId="77777777" w:rsidR="00873DB3" w:rsidRDefault="00873DB3" w:rsidP="00A26235">
            <w:pPr>
              <w:jc w:val="both"/>
              <w:rPr>
                <w:sz w:val="22"/>
                <w:szCs w:val="22"/>
              </w:rPr>
            </w:pPr>
          </w:p>
          <w:p w14:paraId="32887607" w14:textId="77777777" w:rsidR="00583E07" w:rsidRDefault="00583E07" w:rsidP="00A26235">
            <w:pPr>
              <w:jc w:val="both"/>
              <w:rPr>
                <w:sz w:val="22"/>
                <w:szCs w:val="22"/>
              </w:rPr>
            </w:pPr>
          </w:p>
          <w:p w14:paraId="3824B52C" w14:textId="77777777" w:rsidR="00583E07" w:rsidRDefault="00583E07" w:rsidP="00A26235">
            <w:pPr>
              <w:jc w:val="both"/>
              <w:rPr>
                <w:sz w:val="22"/>
                <w:szCs w:val="22"/>
              </w:rPr>
            </w:pPr>
          </w:p>
          <w:p w14:paraId="73472F86" w14:textId="77777777" w:rsidR="00583E07" w:rsidRDefault="00583E07" w:rsidP="00A26235">
            <w:pPr>
              <w:jc w:val="both"/>
              <w:rPr>
                <w:sz w:val="22"/>
                <w:szCs w:val="22"/>
              </w:rPr>
            </w:pPr>
          </w:p>
          <w:p w14:paraId="75084646" w14:textId="77777777" w:rsidR="00873DB3" w:rsidRDefault="00873DB3" w:rsidP="00683EF7">
            <w:pPr>
              <w:pStyle w:val="ListParagraph"/>
              <w:tabs>
                <w:tab w:val="left" w:pos="379"/>
              </w:tabs>
              <w:ind w:left="39"/>
              <w:jc w:val="both"/>
              <w:rPr>
                <w:sz w:val="22"/>
                <w:u w:val="single"/>
              </w:rPr>
            </w:pPr>
            <w:r w:rsidRPr="00920E5F">
              <w:rPr>
                <w:sz w:val="22"/>
                <w:u w:val="single"/>
              </w:rPr>
              <w:t xml:space="preserve"> </w:t>
            </w:r>
          </w:p>
          <w:p w14:paraId="0B956F23" w14:textId="77777777" w:rsidR="008C4C1D" w:rsidRDefault="008C4C1D" w:rsidP="00683EF7">
            <w:pPr>
              <w:pStyle w:val="ListParagraph"/>
              <w:tabs>
                <w:tab w:val="left" w:pos="379"/>
              </w:tabs>
              <w:ind w:left="39"/>
              <w:jc w:val="both"/>
              <w:rPr>
                <w:sz w:val="22"/>
                <w:u w:val="single"/>
              </w:rPr>
            </w:pPr>
          </w:p>
          <w:p w14:paraId="4AED39D6" w14:textId="77777777" w:rsidR="00C10A64" w:rsidRDefault="00C10A64" w:rsidP="008C4C1D">
            <w:pPr>
              <w:pStyle w:val="ListParagraph"/>
              <w:ind w:left="0"/>
              <w:jc w:val="both"/>
              <w:rPr>
                <w:b/>
                <w:sz w:val="22"/>
              </w:rPr>
            </w:pPr>
          </w:p>
          <w:p w14:paraId="62068267" w14:textId="77777777" w:rsidR="00C10A64" w:rsidRDefault="00C10A64" w:rsidP="008C4C1D">
            <w:pPr>
              <w:pStyle w:val="ListParagraph"/>
              <w:ind w:left="0"/>
              <w:jc w:val="both"/>
              <w:rPr>
                <w:b/>
                <w:sz w:val="22"/>
              </w:rPr>
            </w:pPr>
          </w:p>
          <w:p w14:paraId="12300B54" w14:textId="77777777" w:rsidR="00C10A64" w:rsidRDefault="00C10A64" w:rsidP="008C4C1D">
            <w:pPr>
              <w:pStyle w:val="ListParagraph"/>
              <w:ind w:left="0"/>
              <w:jc w:val="both"/>
              <w:rPr>
                <w:b/>
                <w:sz w:val="22"/>
              </w:rPr>
            </w:pPr>
          </w:p>
          <w:p w14:paraId="5331D0C1" w14:textId="77777777" w:rsidR="00C10A64" w:rsidRDefault="00C10A64" w:rsidP="008C4C1D">
            <w:pPr>
              <w:pStyle w:val="ListParagraph"/>
              <w:ind w:left="0"/>
              <w:jc w:val="both"/>
              <w:rPr>
                <w:b/>
                <w:sz w:val="22"/>
              </w:rPr>
            </w:pPr>
          </w:p>
          <w:p w14:paraId="79222793" w14:textId="77777777" w:rsidR="00C10A64" w:rsidRDefault="00C10A64" w:rsidP="008C4C1D">
            <w:pPr>
              <w:pStyle w:val="ListParagraph"/>
              <w:ind w:left="0"/>
              <w:jc w:val="both"/>
              <w:rPr>
                <w:b/>
                <w:sz w:val="22"/>
              </w:rPr>
            </w:pPr>
          </w:p>
          <w:p w14:paraId="2D936575" w14:textId="77777777" w:rsidR="00C10A64" w:rsidRDefault="00C10A64" w:rsidP="008C4C1D">
            <w:pPr>
              <w:pStyle w:val="ListParagraph"/>
              <w:ind w:left="0"/>
              <w:jc w:val="both"/>
              <w:rPr>
                <w:b/>
                <w:sz w:val="22"/>
              </w:rPr>
            </w:pPr>
          </w:p>
          <w:p w14:paraId="0CF72005" w14:textId="1D68330E" w:rsidR="008C4C1D" w:rsidRPr="00873DB3" w:rsidRDefault="008C4C1D" w:rsidP="005D3AC9">
            <w:pPr>
              <w:jc w:val="both"/>
              <w:rPr>
                <w:sz w:val="22"/>
              </w:rPr>
            </w:pPr>
          </w:p>
        </w:tc>
      </w:tr>
      <w:tr w:rsidR="00DD563F" w:rsidRPr="009D07C7" w14:paraId="6ED3AEEB" w14:textId="77777777" w:rsidTr="009B643B">
        <w:tc>
          <w:tcPr>
            <w:tcW w:w="276" w:type="pct"/>
            <w:tcBorders>
              <w:bottom w:val="single" w:sz="4" w:space="0" w:color="auto"/>
            </w:tcBorders>
          </w:tcPr>
          <w:p w14:paraId="6D17088A" w14:textId="77777777" w:rsidR="00DD563F" w:rsidRPr="009D07C7" w:rsidRDefault="00DD563F" w:rsidP="00E65D59">
            <w:pPr>
              <w:numPr>
                <w:ilvl w:val="0"/>
                <w:numId w:val="1"/>
              </w:numPr>
              <w:rPr>
                <w:sz w:val="22"/>
                <w:szCs w:val="22"/>
              </w:rPr>
            </w:pPr>
          </w:p>
        </w:tc>
        <w:tc>
          <w:tcPr>
            <w:tcW w:w="1726" w:type="pct"/>
            <w:tcBorders>
              <w:bottom w:val="single" w:sz="4" w:space="0" w:color="auto"/>
            </w:tcBorders>
          </w:tcPr>
          <w:p w14:paraId="05F9A66E" w14:textId="77777777" w:rsidR="008D339D" w:rsidRDefault="00DD563F" w:rsidP="00660911">
            <w:pPr>
              <w:rPr>
                <w:sz w:val="22"/>
                <w:szCs w:val="22"/>
              </w:rPr>
            </w:pPr>
            <w:r w:rsidRPr="00654481">
              <w:rPr>
                <w:b/>
                <w:sz w:val="22"/>
                <w:szCs w:val="22"/>
              </w:rPr>
              <w:t>Interešu konflikts</w:t>
            </w:r>
            <w:r w:rsidR="003C4617" w:rsidRPr="00654481">
              <w:rPr>
                <w:rStyle w:val="FootnoteReference"/>
                <w:b/>
                <w:sz w:val="22"/>
                <w:szCs w:val="22"/>
              </w:rPr>
              <w:footnoteReference w:id="8"/>
            </w:r>
            <w:r w:rsidR="008D339D" w:rsidRPr="003F0E9A">
              <w:rPr>
                <w:sz w:val="22"/>
                <w:szCs w:val="22"/>
              </w:rPr>
              <w:t xml:space="preserve"> </w:t>
            </w:r>
          </w:p>
          <w:p w14:paraId="44FD7ADD" w14:textId="77777777" w:rsidR="008D339D" w:rsidRDefault="008D339D" w:rsidP="00660911">
            <w:pPr>
              <w:rPr>
                <w:sz w:val="22"/>
                <w:szCs w:val="22"/>
              </w:rPr>
            </w:pPr>
          </w:p>
          <w:p w14:paraId="27AF81A8" w14:textId="3494A151" w:rsidR="00DD563F" w:rsidRPr="00654481" w:rsidRDefault="008D339D" w:rsidP="00660911">
            <w:pPr>
              <w:rPr>
                <w:b/>
                <w:sz w:val="22"/>
                <w:szCs w:val="22"/>
              </w:rPr>
            </w:pPr>
            <w:r w:rsidRPr="003F0E9A">
              <w:rPr>
                <w:sz w:val="22"/>
                <w:szCs w:val="22"/>
              </w:rPr>
              <w:t>Šis punkts attiecas uz tādiem interešu konflikta gadījumiem, kas nav saistīti ar iepirkumu.</w:t>
            </w:r>
          </w:p>
        </w:tc>
        <w:tc>
          <w:tcPr>
            <w:tcW w:w="2086" w:type="pct"/>
            <w:gridSpan w:val="2"/>
            <w:tcBorders>
              <w:bottom w:val="single" w:sz="4" w:space="0" w:color="auto"/>
            </w:tcBorders>
          </w:tcPr>
          <w:p w14:paraId="130DD6B0" w14:textId="276E69F3" w:rsidR="00387B3A" w:rsidRDefault="00C74171" w:rsidP="00634B3D">
            <w:pPr>
              <w:pStyle w:val="Text3"/>
              <w:snapToGrid w:val="0"/>
              <w:spacing w:after="0"/>
              <w:ind w:left="0"/>
              <w:rPr>
                <w:sz w:val="22"/>
                <w:szCs w:val="22"/>
                <w:lang w:val="lv-LV"/>
              </w:rPr>
            </w:pPr>
            <w:r w:rsidRPr="003F0E9A">
              <w:rPr>
                <w:sz w:val="22"/>
                <w:szCs w:val="22"/>
                <w:lang w:val="lv-LV"/>
              </w:rPr>
              <w:t xml:space="preserve">Ja projekta īstenošanas gaitā </w:t>
            </w:r>
            <w:r w:rsidR="00634B3D" w:rsidRPr="003F0E9A">
              <w:rPr>
                <w:sz w:val="22"/>
                <w:szCs w:val="22"/>
                <w:lang w:val="lv-LV"/>
              </w:rPr>
              <w:t xml:space="preserve">konstatēts interešu konflikts. </w:t>
            </w:r>
          </w:p>
          <w:p w14:paraId="14F1CA73" w14:textId="77777777" w:rsidR="0029446B" w:rsidRPr="00C10A64" w:rsidRDefault="0029446B" w:rsidP="0029446B">
            <w:pPr>
              <w:pStyle w:val="Text3"/>
              <w:snapToGrid w:val="0"/>
              <w:spacing w:after="0"/>
              <w:ind w:left="0"/>
              <w:rPr>
                <w:sz w:val="22"/>
                <w:szCs w:val="22"/>
                <w:lang w:val="lv-LV"/>
              </w:rPr>
            </w:pPr>
            <w:r w:rsidRPr="00C10A64">
              <w:rPr>
                <w:sz w:val="22"/>
                <w:szCs w:val="22"/>
                <w:lang w:val="lv-LV"/>
              </w:rPr>
              <w:t>Piemērs:</w:t>
            </w:r>
          </w:p>
          <w:p w14:paraId="1AF04D36" w14:textId="4A138FB7" w:rsidR="00455D1C" w:rsidRPr="00BD6576" w:rsidRDefault="00CC460F" w:rsidP="0029446B">
            <w:pPr>
              <w:pStyle w:val="Text3"/>
              <w:snapToGrid w:val="0"/>
              <w:spacing w:after="0"/>
              <w:ind w:left="0"/>
              <w:rPr>
                <w:sz w:val="22"/>
                <w:szCs w:val="22"/>
                <w:lang w:val="lv-LV"/>
              </w:rPr>
            </w:pPr>
            <w:r w:rsidRPr="00C10A64">
              <w:rPr>
                <w:sz w:val="22"/>
                <w:szCs w:val="22"/>
                <w:lang w:val="lv-LV"/>
              </w:rPr>
              <w:t>Finansējuma saņēmējs projekta ietvaros uz darba līguma pamata nodarbina radinieku, lai tas sniegtu juridiskas konsultācijas.</w:t>
            </w:r>
          </w:p>
        </w:tc>
        <w:tc>
          <w:tcPr>
            <w:tcW w:w="912" w:type="pct"/>
            <w:tcBorders>
              <w:bottom w:val="single" w:sz="4" w:space="0" w:color="auto"/>
            </w:tcBorders>
          </w:tcPr>
          <w:p w14:paraId="0FCEC346" w14:textId="56D1DA26" w:rsidR="00054149" w:rsidRPr="00DD3495" w:rsidRDefault="00054149" w:rsidP="00E65D59">
            <w:pPr>
              <w:jc w:val="both"/>
              <w:rPr>
                <w:bCs/>
                <w:sz w:val="22"/>
                <w:szCs w:val="22"/>
              </w:rPr>
            </w:pPr>
            <w:r w:rsidRPr="00DD3495">
              <w:rPr>
                <w:b/>
                <w:bCs/>
                <w:sz w:val="22"/>
                <w:szCs w:val="22"/>
              </w:rPr>
              <w:t>100%</w:t>
            </w:r>
            <w:r w:rsidRPr="00DD3495">
              <w:rPr>
                <w:bCs/>
                <w:sz w:val="22"/>
                <w:szCs w:val="22"/>
              </w:rPr>
              <w:t xml:space="preserve">, bet </w:t>
            </w:r>
            <w:r w:rsidR="00CE0A27">
              <w:rPr>
                <w:bCs/>
                <w:sz w:val="22"/>
                <w:szCs w:val="22"/>
              </w:rPr>
              <w:t xml:space="preserve">finanšu korekcijas apjomu </w:t>
            </w:r>
            <w:r w:rsidRPr="00DD3495">
              <w:rPr>
                <w:bCs/>
                <w:sz w:val="22"/>
                <w:szCs w:val="22"/>
              </w:rPr>
              <w:t xml:space="preserve">var samazināt uz 25%, 10%, 5%, 2%, atkarībā no </w:t>
            </w:r>
            <w:r w:rsidR="006610D6">
              <w:rPr>
                <w:bCs/>
                <w:sz w:val="22"/>
                <w:szCs w:val="22"/>
              </w:rPr>
              <w:t xml:space="preserve">pārkāpuma </w:t>
            </w:r>
            <w:r w:rsidR="00660911">
              <w:rPr>
                <w:bCs/>
                <w:sz w:val="22"/>
                <w:szCs w:val="22"/>
              </w:rPr>
              <w:t xml:space="preserve">būtiskuma. </w:t>
            </w:r>
            <w:r w:rsidR="00387B3A" w:rsidRPr="00DD3495">
              <w:rPr>
                <w:bCs/>
                <w:sz w:val="22"/>
                <w:szCs w:val="22"/>
              </w:rPr>
              <w:t xml:space="preserve"> </w:t>
            </w:r>
          </w:p>
          <w:p w14:paraId="0A25FFD1" w14:textId="77777777" w:rsidR="00DD563F" w:rsidRPr="009D07C7" w:rsidRDefault="00DD563F" w:rsidP="00E65D59">
            <w:pPr>
              <w:jc w:val="both"/>
              <w:rPr>
                <w:sz w:val="22"/>
                <w:szCs w:val="22"/>
              </w:rPr>
            </w:pPr>
          </w:p>
        </w:tc>
      </w:tr>
      <w:tr w:rsidR="009F64F4" w:rsidRPr="009D07C7" w14:paraId="16E6910C" w14:textId="77777777" w:rsidTr="009B643B">
        <w:tc>
          <w:tcPr>
            <w:tcW w:w="276" w:type="pct"/>
            <w:tcBorders>
              <w:bottom w:val="single" w:sz="4" w:space="0" w:color="auto"/>
            </w:tcBorders>
          </w:tcPr>
          <w:p w14:paraId="49EA5DD7" w14:textId="77777777" w:rsidR="009F64F4" w:rsidRPr="009D07C7" w:rsidRDefault="009F64F4" w:rsidP="00E65D59">
            <w:pPr>
              <w:numPr>
                <w:ilvl w:val="0"/>
                <w:numId w:val="1"/>
              </w:numPr>
              <w:rPr>
                <w:sz w:val="22"/>
                <w:szCs w:val="22"/>
              </w:rPr>
            </w:pPr>
          </w:p>
        </w:tc>
        <w:tc>
          <w:tcPr>
            <w:tcW w:w="1726" w:type="pct"/>
            <w:tcBorders>
              <w:bottom w:val="single" w:sz="4" w:space="0" w:color="auto"/>
            </w:tcBorders>
          </w:tcPr>
          <w:p w14:paraId="3F1ECD4F" w14:textId="77777777" w:rsidR="00775BBA" w:rsidRDefault="009F64F4" w:rsidP="00654481">
            <w:pPr>
              <w:jc w:val="both"/>
              <w:rPr>
                <w:b/>
                <w:sz w:val="22"/>
                <w:szCs w:val="22"/>
              </w:rPr>
            </w:pPr>
            <w:r w:rsidRPr="00654481">
              <w:rPr>
                <w:b/>
                <w:sz w:val="22"/>
                <w:szCs w:val="22"/>
              </w:rPr>
              <w:t>Vizuālās identitātes un publicitātes prasību neizpilde</w:t>
            </w:r>
          </w:p>
          <w:p w14:paraId="1BB71F20" w14:textId="77777777" w:rsidR="00775BBA" w:rsidRDefault="00775BBA" w:rsidP="00775BBA">
            <w:pPr>
              <w:autoSpaceDE w:val="0"/>
              <w:autoSpaceDN w:val="0"/>
              <w:adjustRightInd w:val="0"/>
              <w:jc w:val="both"/>
              <w:rPr>
                <w:color w:val="000000"/>
                <w:sz w:val="23"/>
                <w:szCs w:val="23"/>
              </w:rPr>
            </w:pPr>
          </w:p>
          <w:p w14:paraId="5B31D6C8" w14:textId="77777777" w:rsidR="00775BBA" w:rsidRPr="00775BBA" w:rsidRDefault="00775BBA" w:rsidP="00775BBA">
            <w:pPr>
              <w:autoSpaceDE w:val="0"/>
              <w:autoSpaceDN w:val="0"/>
              <w:adjustRightInd w:val="0"/>
              <w:jc w:val="both"/>
              <w:rPr>
                <w:color w:val="000000"/>
                <w:sz w:val="23"/>
                <w:szCs w:val="23"/>
              </w:rPr>
            </w:pPr>
            <w:r w:rsidRPr="00775BBA">
              <w:rPr>
                <w:color w:val="000000"/>
                <w:sz w:val="23"/>
                <w:szCs w:val="23"/>
              </w:rPr>
              <w:t>ES fondu 2014. – 2020. gada plānošanas periodā izstrādāt</w:t>
            </w:r>
            <w:r>
              <w:rPr>
                <w:color w:val="000000"/>
                <w:sz w:val="23"/>
                <w:szCs w:val="23"/>
              </w:rPr>
              <w:t xml:space="preserve">ais vizuālo elementu ansamblis </w:t>
            </w:r>
            <w:r w:rsidRPr="00775BBA">
              <w:rPr>
                <w:color w:val="000000"/>
                <w:sz w:val="23"/>
                <w:szCs w:val="23"/>
              </w:rPr>
              <w:t xml:space="preserve">sastāv no trim elementiem: </w:t>
            </w:r>
          </w:p>
          <w:p w14:paraId="22098D6D" w14:textId="77777777" w:rsidR="00775BBA" w:rsidRPr="00775BBA" w:rsidRDefault="00775BBA" w:rsidP="00775BBA">
            <w:pPr>
              <w:autoSpaceDE w:val="0"/>
              <w:autoSpaceDN w:val="0"/>
              <w:adjustRightInd w:val="0"/>
              <w:spacing w:before="120" w:after="120"/>
              <w:jc w:val="both"/>
              <w:rPr>
                <w:color w:val="000000"/>
                <w:sz w:val="23"/>
                <w:szCs w:val="23"/>
              </w:rPr>
            </w:pPr>
            <w:r w:rsidRPr="00175729">
              <w:rPr>
                <w:sz w:val="22"/>
                <w:szCs w:val="22"/>
              </w:rPr>
              <w:t xml:space="preserve">(a) </w:t>
            </w:r>
            <w:r w:rsidRPr="00775BBA">
              <w:rPr>
                <w:color w:val="000000"/>
                <w:sz w:val="23"/>
                <w:szCs w:val="23"/>
              </w:rPr>
              <w:t xml:space="preserve">ES karoga emblēmas kopā ar atsauci “Eiropas Savienība” un atsauci uz fondu. Gadījumā, ja pasākumu līdzfinansē vairāk nekā viens fonds, atsauce ir uz ES struktūrfondiem un KF formā “Eiropas Savienības struktūrfondi un Kohēzijas fonds”; </w:t>
            </w:r>
          </w:p>
          <w:p w14:paraId="63834F1C" w14:textId="77777777" w:rsidR="00775BBA" w:rsidRDefault="00775BBA" w:rsidP="00775BBA">
            <w:pPr>
              <w:autoSpaceDE w:val="0"/>
              <w:autoSpaceDN w:val="0"/>
              <w:adjustRightInd w:val="0"/>
              <w:spacing w:before="120" w:after="120"/>
              <w:jc w:val="both"/>
              <w:rPr>
                <w:color w:val="000000"/>
                <w:sz w:val="23"/>
                <w:szCs w:val="23"/>
              </w:rPr>
            </w:pPr>
            <w:r w:rsidRPr="00175729">
              <w:rPr>
                <w:sz w:val="22"/>
                <w:szCs w:val="22"/>
              </w:rPr>
              <w:t>(b)</w:t>
            </w:r>
            <w:r>
              <w:rPr>
                <w:sz w:val="22"/>
                <w:szCs w:val="22"/>
              </w:rPr>
              <w:t xml:space="preserve"> </w:t>
            </w:r>
            <w:r w:rsidRPr="00775BBA">
              <w:rPr>
                <w:color w:val="000000"/>
                <w:sz w:val="23"/>
                <w:szCs w:val="23"/>
              </w:rPr>
              <w:t xml:space="preserve">Nacionālās identifikācijas zīmes ar atsauci uz Nacionālo attīstības plānu 2014. – 2020. gadam formā “Nacionālais attīstības plāns 2020”; </w:t>
            </w:r>
          </w:p>
          <w:p w14:paraId="3F7ECE12" w14:textId="77777777" w:rsidR="00775BBA" w:rsidRPr="00775BBA" w:rsidRDefault="00775BBA" w:rsidP="00B0708F">
            <w:pPr>
              <w:autoSpaceDE w:val="0"/>
              <w:autoSpaceDN w:val="0"/>
              <w:adjustRightInd w:val="0"/>
              <w:spacing w:after="49"/>
              <w:jc w:val="both"/>
              <w:rPr>
                <w:color w:val="000000"/>
                <w:sz w:val="23"/>
                <w:szCs w:val="23"/>
              </w:rPr>
            </w:pPr>
            <w:r w:rsidRPr="00175729">
              <w:rPr>
                <w:sz w:val="22"/>
                <w:szCs w:val="22"/>
              </w:rPr>
              <w:t>(c)</w:t>
            </w:r>
            <w:r>
              <w:rPr>
                <w:sz w:val="22"/>
                <w:szCs w:val="22"/>
              </w:rPr>
              <w:t xml:space="preserve"> </w:t>
            </w:r>
            <w:r w:rsidRPr="00775BBA">
              <w:rPr>
                <w:color w:val="000000"/>
                <w:sz w:val="23"/>
                <w:szCs w:val="23"/>
              </w:rPr>
              <w:t xml:space="preserve">Saukļa “Ieguldījums tavā nākotnē”. </w:t>
            </w:r>
          </w:p>
          <w:p w14:paraId="7EB46DC4" w14:textId="77777777" w:rsidR="00775BBA" w:rsidRDefault="00775BBA" w:rsidP="00654481">
            <w:pPr>
              <w:jc w:val="both"/>
              <w:rPr>
                <w:b/>
                <w:sz w:val="22"/>
                <w:szCs w:val="22"/>
              </w:rPr>
            </w:pPr>
          </w:p>
          <w:p w14:paraId="6AE3E140" w14:textId="77777777" w:rsidR="003B446B" w:rsidRPr="009D07C7" w:rsidRDefault="009F64F4" w:rsidP="00654481">
            <w:pPr>
              <w:jc w:val="both"/>
              <w:rPr>
                <w:sz w:val="22"/>
                <w:szCs w:val="22"/>
              </w:rPr>
            </w:pPr>
            <w:r w:rsidRPr="00654481">
              <w:rPr>
                <w:b/>
                <w:sz w:val="22"/>
                <w:szCs w:val="22"/>
              </w:rPr>
              <w:t xml:space="preserve"> </w:t>
            </w:r>
          </w:p>
          <w:p w14:paraId="43454791" w14:textId="77777777" w:rsidR="009F64F4" w:rsidRPr="009D07C7" w:rsidRDefault="009F64F4" w:rsidP="00C066C2">
            <w:pPr>
              <w:jc w:val="both"/>
              <w:rPr>
                <w:sz w:val="22"/>
                <w:szCs w:val="22"/>
              </w:rPr>
            </w:pPr>
          </w:p>
        </w:tc>
        <w:tc>
          <w:tcPr>
            <w:tcW w:w="2086" w:type="pct"/>
            <w:gridSpan w:val="2"/>
            <w:tcBorders>
              <w:bottom w:val="single" w:sz="4" w:space="0" w:color="auto"/>
            </w:tcBorders>
          </w:tcPr>
          <w:p w14:paraId="53D74E21" w14:textId="77777777" w:rsidR="00595EAB" w:rsidRPr="003F0E9A" w:rsidRDefault="00595EAB" w:rsidP="00E65D59">
            <w:pPr>
              <w:pStyle w:val="Text3"/>
              <w:tabs>
                <w:tab w:val="clear" w:pos="2302"/>
                <w:tab w:val="left" w:pos="0"/>
              </w:tabs>
              <w:snapToGrid w:val="0"/>
              <w:spacing w:after="0"/>
              <w:ind w:left="0"/>
              <w:rPr>
                <w:sz w:val="22"/>
                <w:szCs w:val="22"/>
                <w:lang w:val="lv-LV"/>
              </w:rPr>
            </w:pPr>
            <w:r w:rsidRPr="003F0E9A">
              <w:rPr>
                <w:sz w:val="22"/>
                <w:szCs w:val="22"/>
                <w:lang w:val="lv-LV"/>
              </w:rPr>
              <w:t xml:space="preserve">Pārkāpumi </w:t>
            </w:r>
            <w:r w:rsidR="003F0E9A" w:rsidRPr="003F0E9A">
              <w:rPr>
                <w:sz w:val="22"/>
                <w:szCs w:val="22"/>
                <w:lang w:val="lv-LV"/>
              </w:rPr>
              <w:t xml:space="preserve">informācijas un komunikācijas </w:t>
            </w:r>
            <w:r w:rsidRPr="003F0E9A">
              <w:rPr>
                <w:sz w:val="22"/>
                <w:szCs w:val="22"/>
                <w:lang w:val="lv-LV"/>
              </w:rPr>
              <w:t>prasību izpildē  atbilstoši ES normatīvo aktu prasībām</w:t>
            </w:r>
            <w:r w:rsidRPr="003F0E9A">
              <w:rPr>
                <w:sz w:val="22"/>
                <w:szCs w:val="22"/>
                <w:vertAlign w:val="superscript"/>
                <w:lang w:val="lv-LV"/>
              </w:rPr>
              <w:footnoteReference w:id="9"/>
            </w:r>
            <w:r w:rsidRPr="003F0E9A">
              <w:rPr>
                <w:sz w:val="22"/>
                <w:szCs w:val="22"/>
                <w:lang w:val="lv-LV"/>
              </w:rPr>
              <w:t> </w:t>
            </w:r>
            <w:r w:rsidR="00AB3D99">
              <w:rPr>
                <w:sz w:val="22"/>
                <w:szCs w:val="22"/>
                <w:lang w:val="lv-LV"/>
              </w:rPr>
              <w:t>un vadošās iestādes publicitātes vadlīnijām</w:t>
            </w:r>
            <w:r w:rsidR="00AB3D99">
              <w:rPr>
                <w:rStyle w:val="FootnoteReference"/>
                <w:sz w:val="22"/>
                <w:szCs w:val="22"/>
                <w:lang w:val="lv-LV"/>
              </w:rPr>
              <w:footnoteReference w:id="10"/>
            </w:r>
            <w:r w:rsidR="00D05660">
              <w:rPr>
                <w:sz w:val="22"/>
                <w:szCs w:val="22"/>
                <w:lang w:val="lv-LV"/>
              </w:rPr>
              <w:t xml:space="preserve">, kas sniedz skaidrojumu par obligātajām </w:t>
            </w:r>
            <w:r w:rsidR="00D05660" w:rsidRPr="00D05660">
              <w:rPr>
                <w:sz w:val="22"/>
                <w:szCs w:val="22"/>
                <w:lang w:val="lv-LV"/>
              </w:rPr>
              <w:t xml:space="preserve">informācijas un komunikācijas </w:t>
            </w:r>
            <w:r w:rsidR="00D05660">
              <w:rPr>
                <w:sz w:val="22"/>
                <w:szCs w:val="22"/>
                <w:lang w:val="lv-LV"/>
              </w:rPr>
              <w:t>prasībām, kas jāievēro projekta īstenošanas laikā un pēc projekta pabeigšanas atkarībā no projekta specifikas</w:t>
            </w:r>
            <w:r w:rsidRPr="003F0E9A">
              <w:rPr>
                <w:sz w:val="22"/>
                <w:szCs w:val="22"/>
                <w:lang w:val="lv-LV"/>
              </w:rPr>
              <w:t xml:space="preserve">: </w:t>
            </w:r>
          </w:p>
          <w:p w14:paraId="05DD3AA2" w14:textId="77777777" w:rsidR="00595EAB" w:rsidRPr="003F0E9A" w:rsidRDefault="00595EAB" w:rsidP="00E65D59">
            <w:pPr>
              <w:pStyle w:val="Text3"/>
              <w:tabs>
                <w:tab w:val="clear" w:pos="2302"/>
                <w:tab w:val="left" w:pos="0"/>
              </w:tabs>
              <w:snapToGrid w:val="0"/>
              <w:spacing w:after="0"/>
              <w:ind w:left="0"/>
              <w:rPr>
                <w:sz w:val="22"/>
                <w:szCs w:val="22"/>
                <w:lang w:val="lv-LV"/>
              </w:rPr>
            </w:pPr>
            <w:r w:rsidRPr="003F0E9A">
              <w:rPr>
                <w:sz w:val="22"/>
                <w:szCs w:val="22"/>
                <w:lang w:val="lv-LV"/>
              </w:rPr>
              <w:t xml:space="preserve">1. </w:t>
            </w:r>
            <w:r w:rsidR="00AB3D99">
              <w:rPr>
                <w:b/>
                <w:sz w:val="22"/>
                <w:szCs w:val="22"/>
                <w:lang w:val="lv-LV"/>
              </w:rPr>
              <w:t xml:space="preserve">informācijas un komunikācijas </w:t>
            </w:r>
            <w:r w:rsidRPr="003F0E9A">
              <w:rPr>
                <w:b/>
                <w:sz w:val="22"/>
                <w:szCs w:val="22"/>
                <w:lang w:val="lv-LV"/>
              </w:rPr>
              <w:t xml:space="preserve">prasību pārkāpumi informatīvajos materiālos (informatīvais stends, informatīvā plāksne pie objekta, plakāti, grāmata, publikācija, buklets, </w:t>
            </w:r>
            <w:r w:rsidR="003F0E9A">
              <w:rPr>
                <w:b/>
                <w:sz w:val="22"/>
                <w:szCs w:val="22"/>
                <w:lang w:val="lv-LV"/>
              </w:rPr>
              <w:t>b</w:t>
            </w:r>
            <w:r w:rsidR="005C779E" w:rsidRPr="003F0E9A">
              <w:rPr>
                <w:b/>
                <w:sz w:val="22"/>
                <w:szCs w:val="22"/>
                <w:lang w:val="lv-LV"/>
              </w:rPr>
              <w:t>rošūras</w:t>
            </w:r>
            <w:r w:rsidRPr="003F0E9A">
              <w:rPr>
                <w:b/>
                <w:sz w:val="22"/>
                <w:szCs w:val="22"/>
                <w:lang w:val="lv-LV"/>
              </w:rPr>
              <w:t xml:space="preserve"> u.c.):</w:t>
            </w:r>
            <w:r w:rsidRPr="003F0E9A">
              <w:rPr>
                <w:sz w:val="22"/>
                <w:szCs w:val="22"/>
                <w:lang w:val="lv-LV"/>
              </w:rPr>
              <w:t xml:space="preserve"> </w:t>
            </w:r>
          </w:p>
          <w:p w14:paraId="131F08E2" w14:textId="22E8E621" w:rsidR="00595EAB" w:rsidRPr="003F0E9A" w:rsidRDefault="00595EAB" w:rsidP="00E65D59">
            <w:pPr>
              <w:pStyle w:val="Text3"/>
              <w:snapToGrid w:val="0"/>
              <w:spacing w:after="0"/>
              <w:ind w:left="0"/>
              <w:rPr>
                <w:sz w:val="22"/>
                <w:szCs w:val="22"/>
                <w:lang w:val="lv-LV"/>
              </w:rPr>
            </w:pPr>
            <w:r w:rsidRPr="003F0E9A">
              <w:rPr>
                <w:sz w:val="22"/>
                <w:szCs w:val="22"/>
                <w:lang w:val="lv-LV"/>
              </w:rPr>
              <w:t>1.</w:t>
            </w:r>
            <w:r w:rsidR="00BB6B82">
              <w:rPr>
                <w:sz w:val="22"/>
                <w:szCs w:val="22"/>
                <w:lang w:val="lv-LV"/>
              </w:rPr>
              <w:t>1</w:t>
            </w:r>
            <w:r w:rsidRPr="003F0E9A">
              <w:rPr>
                <w:sz w:val="22"/>
                <w:szCs w:val="22"/>
                <w:lang w:val="lv-LV"/>
              </w:rPr>
              <w:t>. Ja informatīvajam materiālam, stendam, plāksnei vai plakātam nav lietots ES karogs ar atsauci uz Eiropas Savienību (a), piemēro 2% finanšu korekciju</w:t>
            </w:r>
            <w:r w:rsidR="007A7E2C" w:rsidRPr="003F0E9A">
              <w:rPr>
                <w:sz w:val="22"/>
                <w:szCs w:val="22"/>
                <w:lang w:val="lv-LV"/>
              </w:rPr>
              <w:t xml:space="preserve"> </w:t>
            </w:r>
            <w:r w:rsidR="006610D6">
              <w:rPr>
                <w:sz w:val="22"/>
                <w:szCs w:val="22"/>
                <w:lang w:val="lv-LV"/>
              </w:rPr>
              <w:t>maksājuma pieprasījumā iekļautajām</w:t>
            </w:r>
            <w:r w:rsidR="00C40666" w:rsidRPr="003F0E9A">
              <w:rPr>
                <w:sz w:val="22"/>
                <w:szCs w:val="22"/>
                <w:lang w:val="lv-LV"/>
              </w:rPr>
              <w:t xml:space="preserve"> publicitātes izmaksām</w:t>
            </w:r>
            <w:r w:rsidRPr="003F0E9A">
              <w:rPr>
                <w:sz w:val="22"/>
                <w:szCs w:val="22"/>
                <w:lang w:val="lv-LV"/>
              </w:rPr>
              <w:t xml:space="preserve">. </w:t>
            </w:r>
          </w:p>
          <w:p w14:paraId="78EFAFE9" w14:textId="23F67F55" w:rsidR="004516BE" w:rsidRDefault="00595EAB" w:rsidP="00F2343A">
            <w:pPr>
              <w:pStyle w:val="Text3"/>
              <w:snapToGrid w:val="0"/>
              <w:spacing w:after="0"/>
              <w:ind w:left="0"/>
              <w:rPr>
                <w:sz w:val="22"/>
                <w:szCs w:val="22"/>
                <w:lang w:val="lv-LV"/>
              </w:rPr>
            </w:pPr>
            <w:r w:rsidRPr="003F0E9A">
              <w:rPr>
                <w:sz w:val="22"/>
                <w:szCs w:val="22"/>
                <w:lang w:val="lv-LV"/>
              </w:rPr>
              <w:t>1.</w:t>
            </w:r>
            <w:r w:rsidR="00BB6B82">
              <w:rPr>
                <w:sz w:val="22"/>
                <w:szCs w:val="22"/>
                <w:lang w:val="lv-LV"/>
              </w:rPr>
              <w:t>2</w:t>
            </w:r>
            <w:r w:rsidRPr="003F0E9A">
              <w:rPr>
                <w:sz w:val="22"/>
                <w:szCs w:val="22"/>
                <w:lang w:val="lv-LV"/>
              </w:rPr>
              <w:t xml:space="preserve">. </w:t>
            </w:r>
            <w:r w:rsidR="00F2343A">
              <w:rPr>
                <w:sz w:val="22"/>
                <w:szCs w:val="22"/>
                <w:lang w:val="lv-LV"/>
              </w:rPr>
              <w:t>A</w:t>
            </w:r>
            <w:r w:rsidR="00F2343A" w:rsidRPr="003F0E9A">
              <w:rPr>
                <w:sz w:val="22"/>
                <w:szCs w:val="22"/>
                <w:lang w:val="lv-LV"/>
              </w:rPr>
              <w:t>tkārtoti</w:t>
            </w:r>
            <w:r w:rsidR="00F2343A">
              <w:rPr>
                <w:sz w:val="22"/>
                <w:szCs w:val="22"/>
                <w:lang w:val="lv-LV"/>
              </w:rPr>
              <w:t xml:space="preserve"> konstatējot </w:t>
            </w:r>
            <w:r w:rsidR="00F2343A" w:rsidRPr="003F0E9A">
              <w:rPr>
                <w:sz w:val="22"/>
                <w:szCs w:val="22"/>
                <w:lang w:val="lv-LV"/>
              </w:rPr>
              <w:t>izdarīt</w:t>
            </w:r>
            <w:r w:rsidR="00F2343A">
              <w:rPr>
                <w:sz w:val="22"/>
                <w:szCs w:val="22"/>
                <w:lang w:val="lv-LV"/>
              </w:rPr>
              <w:t>u</w:t>
            </w:r>
            <w:r w:rsidR="00F2343A" w:rsidRPr="003F0E9A">
              <w:rPr>
                <w:sz w:val="22"/>
                <w:szCs w:val="22"/>
                <w:lang w:val="lv-LV"/>
              </w:rPr>
              <w:t xml:space="preserve"> pārkāpum</w:t>
            </w:r>
            <w:r w:rsidR="00F2343A">
              <w:rPr>
                <w:sz w:val="22"/>
                <w:szCs w:val="22"/>
                <w:lang w:val="lv-LV"/>
              </w:rPr>
              <w:t>u -</w:t>
            </w:r>
            <w:r w:rsidR="00F2343A" w:rsidRPr="003F0E9A">
              <w:rPr>
                <w:sz w:val="22"/>
                <w:szCs w:val="22"/>
                <w:lang w:val="lv-LV"/>
              </w:rPr>
              <w:t xml:space="preserve"> </w:t>
            </w:r>
            <w:r w:rsidR="00F2343A">
              <w:rPr>
                <w:sz w:val="22"/>
                <w:szCs w:val="22"/>
                <w:lang w:val="lv-LV"/>
              </w:rPr>
              <w:t>i</w:t>
            </w:r>
            <w:r w:rsidRPr="003F0E9A">
              <w:rPr>
                <w:sz w:val="22"/>
                <w:szCs w:val="22"/>
                <w:lang w:val="lv-LV"/>
              </w:rPr>
              <w:t>nformatīvais materiāls stends, plāksne vai plakāts ir uzstādīts, bet trūkst atsauce</w:t>
            </w:r>
            <w:r w:rsidR="00CD25FF">
              <w:rPr>
                <w:sz w:val="22"/>
                <w:szCs w:val="22"/>
                <w:lang w:val="lv-LV"/>
              </w:rPr>
              <w:t>s</w:t>
            </w:r>
            <w:r w:rsidRPr="003F0E9A">
              <w:rPr>
                <w:sz w:val="22"/>
                <w:szCs w:val="22"/>
                <w:lang w:val="lv-LV"/>
              </w:rPr>
              <w:t xml:space="preserve"> uz fondu (b) un/vai saukli (c).</w:t>
            </w:r>
          </w:p>
          <w:p w14:paraId="1E3C784E" w14:textId="7827F8AC" w:rsidR="00C40666" w:rsidRDefault="004516BE" w:rsidP="00E65D59">
            <w:pPr>
              <w:pStyle w:val="Text3"/>
              <w:tabs>
                <w:tab w:val="clear" w:pos="2302"/>
                <w:tab w:val="left" w:pos="0"/>
              </w:tabs>
              <w:snapToGrid w:val="0"/>
              <w:spacing w:after="0"/>
              <w:ind w:left="0"/>
              <w:rPr>
                <w:b/>
                <w:sz w:val="22"/>
                <w:szCs w:val="22"/>
                <w:lang w:val="lv-LV"/>
              </w:rPr>
            </w:pPr>
            <w:r w:rsidRPr="00D05660">
              <w:rPr>
                <w:sz w:val="22"/>
                <w:szCs w:val="22"/>
                <w:lang w:val="lv-LV"/>
              </w:rPr>
              <w:t xml:space="preserve">2. </w:t>
            </w:r>
            <w:r w:rsidR="00AB3D99" w:rsidRPr="00D05660">
              <w:rPr>
                <w:b/>
                <w:sz w:val="22"/>
                <w:szCs w:val="22"/>
                <w:lang w:val="lv-LV"/>
              </w:rPr>
              <w:t xml:space="preserve">informācijas un komunikācijas </w:t>
            </w:r>
            <w:r w:rsidR="00595EAB" w:rsidRPr="00D05660">
              <w:rPr>
                <w:b/>
                <w:sz w:val="22"/>
                <w:szCs w:val="22"/>
                <w:lang w:val="lv-LV"/>
              </w:rPr>
              <w:t>prasību pārkāpumi plašsaziņas līdzekļu (mediju) publikācijās</w:t>
            </w:r>
            <w:r w:rsidR="00595EAB" w:rsidRPr="003F0E9A">
              <w:rPr>
                <w:b/>
                <w:sz w:val="22"/>
                <w:szCs w:val="22"/>
                <w:lang w:val="lv-LV"/>
              </w:rPr>
              <w:t xml:space="preserve"> </w:t>
            </w:r>
          </w:p>
          <w:p w14:paraId="7DCBD536" w14:textId="403866CD" w:rsidR="00595EAB" w:rsidRPr="003F0E9A" w:rsidRDefault="00595EAB" w:rsidP="00C10A64">
            <w:pPr>
              <w:pStyle w:val="Text3"/>
              <w:tabs>
                <w:tab w:val="clear" w:pos="2302"/>
                <w:tab w:val="left" w:pos="0"/>
              </w:tabs>
              <w:snapToGrid w:val="0"/>
              <w:spacing w:after="0"/>
              <w:ind w:left="0"/>
              <w:rPr>
                <w:sz w:val="22"/>
                <w:szCs w:val="22"/>
                <w:lang w:val="lv-LV"/>
              </w:rPr>
            </w:pPr>
            <w:r w:rsidRPr="003F0E9A">
              <w:rPr>
                <w:sz w:val="22"/>
                <w:szCs w:val="22"/>
                <w:lang w:val="lv-LV"/>
              </w:rPr>
              <w:t>Mediju publikācijas ir jāizvērtē, vai tās ir maksas publikācijas vai projekta ietvaros uzturēto mediju attiecību rezultātā medijā publicēta informācija.</w:t>
            </w:r>
            <w:r w:rsidR="00C10A64">
              <w:rPr>
                <w:sz w:val="22"/>
                <w:szCs w:val="22"/>
                <w:lang w:val="lv-LV"/>
              </w:rPr>
              <w:t xml:space="preserve"> </w:t>
            </w:r>
            <w:r w:rsidRPr="003F0E9A">
              <w:rPr>
                <w:sz w:val="22"/>
                <w:szCs w:val="22"/>
                <w:lang w:val="lv-LV"/>
              </w:rPr>
              <w:t xml:space="preserve">Ja mediju publikācija ir apmaksāta projekta ietvaros, tajā piemēro šī skaidrojuma </w:t>
            </w:r>
            <w:r w:rsidR="00546513" w:rsidRPr="003F0E9A">
              <w:rPr>
                <w:sz w:val="22"/>
                <w:szCs w:val="22"/>
                <w:lang w:val="lv-LV"/>
              </w:rPr>
              <w:t>1</w:t>
            </w:r>
            <w:r w:rsidRPr="003F0E9A">
              <w:rPr>
                <w:sz w:val="22"/>
                <w:szCs w:val="22"/>
                <w:lang w:val="lv-LV"/>
              </w:rPr>
              <w:t xml:space="preserve">. punktā aprakstīto pieeju. </w:t>
            </w:r>
          </w:p>
          <w:p w14:paraId="3EC76AD5" w14:textId="77777777" w:rsidR="00595EAB" w:rsidRPr="003F0E9A" w:rsidRDefault="00D05660" w:rsidP="00E65D59">
            <w:pPr>
              <w:pStyle w:val="Text3"/>
              <w:tabs>
                <w:tab w:val="clear" w:pos="2302"/>
                <w:tab w:val="left" w:pos="35"/>
              </w:tabs>
              <w:snapToGrid w:val="0"/>
              <w:spacing w:after="0"/>
              <w:ind w:left="0"/>
              <w:rPr>
                <w:sz w:val="22"/>
                <w:szCs w:val="22"/>
                <w:lang w:val="lv-LV"/>
              </w:rPr>
            </w:pPr>
            <w:r w:rsidRPr="00D05660">
              <w:rPr>
                <w:sz w:val="22"/>
                <w:szCs w:val="22"/>
                <w:lang w:val="lv-LV"/>
              </w:rPr>
              <w:t>3</w:t>
            </w:r>
            <w:r w:rsidR="00595EAB" w:rsidRPr="00D05660">
              <w:rPr>
                <w:sz w:val="22"/>
                <w:szCs w:val="22"/>
                <w:lang w:val="lv-LV"/>
              </w:rPr>
              <w:t>.</w:t>
            </w:r>
            <w:r w:rsidR="00595EAB" w:rsidRPr="003F0E9A">
              <w:rPr>
                <w:b/>
                <w:sz w:val="22"/>
                <w:szCs w:val="22"/>
                <w:lang w:val="lv-LV"/>
              </w:rPr>
              <w:t xml:space="preserve"> </w:t>
            </w:r>
            <w:r w:rsidRPr="00D05660">
              <w:rPr>
                <w:b/>
                <w:sz w:val="22"/>
                <w:szCs w:val="22"/>
                <w:lang w:val="lv-LV"/>
              </w:rPr>
              <w:t xml:space="preserve">informācijas un komunikācijas </w:t>
            </w:r>
            <w:r w:rsidR="00595EAB" w:rsidRPr="003F0E9A">
              <w:rPr>
                <w:b/>
                <w:sz w:val="22"/>
                <w:szCs w:val="22"/>
                <w:lang w:val="lv-LV"/>
              </w:rPr>
              <w:t xml:space="preserve">prasību ievērošana uz nelieliem reprezentatīviem priekšmetiem. </w:t>
            </w:r>
          </w:p>
          <w:p w14:paraId="035A3311" w14:textId="77777777" w:rsidR="00C97FED" w:rsidRDefault="00595EAB" w:rsidP="00E65D59">
            <w:pPr>
              <w:pStyle w:val="Text3"/>
              <w:snapToGrid w:val="0"/>
              <w:spacing w:after="0"/>
              <w:ind w:left="0"/>
              <w:rPr>
                <w:sz w:val="22"/>
                <w:szCs w:val="22"/>
                <w:lang w:val="lv-LV"/>
              </w:rPr>
            </w:pPr>
            <w:r w:rsidRPr="003F0E9A">
              <w:rPr>
                <w:sz w:val="22"/>
                <w:szCs w:val="22"/>
                <w:lang w:val="lv-LV"/>
              </w:rPr>
              <w:t xml:space="preserve">Saskaņā ar </w:t>
            </w:r>
            <w:r w:rsidR="00AB3D99" w:rsidRPr="00AB3D99">
              <w:rPr>
                <w:sz w:val="22"/>
                <w:szCs w:val="22"/>
                <w:lang w:val="lv-LV"/>
              </w:rPr>
              <w:t xml:space="preserve">informācijas un komunikācijas </w:t>
            </w:r>
            <w:r w:rsidR="00AB3D99">
              <w:rPr>
                <w:sz w:val="22"/>
                <w:szCs w:val="22"/>
                <w:lang w:val="lv-LV"/>
              </w:rPr>
              <w:t xml:space="preserve">prasību </w:t>
            </w:r>
            <w:r w:rsidRPr="003F0E9A">
              <w:rPr>
                <w:sz w:val="22"/>
                <w:szCs w:val="22"/>
                <w:lang w:val="lv-LV"/>
              </w:rPr>
              <w:t xml:space="preserve">noteikto atsauci uz attiecīgo ES fondu (b) un saukli „Ieguldījums tavā nākotnē” (c) nelieto uz nelieliem reprezentatīviem (reklāmas) priekšmetiem. </w:t>
            </w:r>
          </w:p>
          <w:p w14:paraId="3665C3CE" w14:textId="73DB65AB" w:rsidR="00546513" w:rsidRPr="00175729" w:rsidRDefault="00595EAB" w:rsidP="00E65D59">
            <w:pPr>
              <w:pStyle w:val="Text3"/>
              <w:snapToGrid w:val="0"/>
              <w:spacing w:after="0"/>
              <w:ind w:left="0"/>
              <w:rPr>
                <w:sz w:val="22"/>
                <w:szCs w:val="22"/>
                <w:lang w:val="lv-LV"/>
              </w:rPr>
            </w:pPr>
            <w:r w:rsidRPr="003F0E9A">
              <w:rPr>
                <w:sz w:val="22"/>
                <w:szCs w:val="22"/>
                <w:lang w:val="lv-LV"/>
              </w:rPr>
              <w:t xml:space="preserve">Par nelieliem reprezentatīviem priekšmetiem tiek uzskatīti, piemēram,  atslēgu piekariņi, atmiņas kartes, zīmuļi, pildspalvas u.c. maza izmēra priekšmeti, uz kuriem nav iespējams savietot </w:t>
            </w:r>
            <w:r w:rsidR="00AB3D99" w:rsidRPr="00AB3D99">
              <w:rPr>
                <w:sz w:val="22"/>
                <w:szCs w:val="22"/>
                <w:lang w:val="lv-LV"/>
              </w:rPr>
              <w:t>informācijas un komunikācijas</w:t>
            </w:r>
            <w:r w:rsidR="00AB3D99">
              <w:rPr>
                <w:sz w:val="22"/>
                <w:szCs w:val="22"/>
                <w:lang w:val="lv-LV"/>
              </w:rPr>
              <w:t xml:space="preserve"> prasības pilnā apmērā</w:t>
            </w:r>
            <w:r w:rsidRPr="003F0E9A">
              <w:rPr>
                <w:sz w:val="22"/>
                <w:szCs w:val="22"/>
                <w:lang w:val="lv-LV"/>
              </w:rPr>
              <w:t>. Uz lielākiem reprezentatīviem priekšmetiem, kā lietussargi, krūzītes u.c</w:t>
            </w:r>
            <w:r w:rsidR="008601BE">
              <w:rPr>
                <w:sz w:val="22"/>
                <w:szCs w:val="22"/>
                <w:lang w:val="lv-LV"/>
              </w:rPr>
              <w:t>.</w:t>
            </w:r>
            <w:r w:rsidRPr="003F0E9A">
              <w:rPr>
                <w:sz w:val="22"/>
                <w:szCs w:val="22"/>
                <w:lang w:val="lv-LV"/>
              </w:rPr>
              <w:t xml:space="preserve">, ir jānodrošina visas noteiktās </w:t>
            </w:r>
            <w:r w:rsidR="00AB3D99" w:rsidRPr="00AB3D99">
              <w:rPr>
                <w:sz w:val="22"/>
                <w:szCs w:val="22"/>
                <w:lang w:val="lv-LV"/>
              </w:rPr>
              <w:t>informācijas un komunikācijas</w:t>
            </w:r>
            <w:r w:rsidRPr="003F0E9A">
              <w:rPr>
                <w:sz w:val="22"/>
                <w:szCs w:val="22"/>
                <w:lang w:val="lv-LV"/>
              </w:rPr>
              <w:t xml:space="preserve"> </w:t>
            </w:r>
            <w:r w:rsidRPr="00175729">
              <w:rPr>
                <w:sz w:val="22"/>
                <w:szCs w:val="22"/>
                <w:lang w:val="lv-LV"/>
              </w:rPr>
              <w:t>prasības (a) un (b) un (c</w:t>
            </w:r>
            <w:r w:rsidR="00A84DE7" w:rsidRPr="00175729">
              <w:rPr>
                <w:sz w:val="22"/>
                <w:szCs w:val="22"/>
                <w:lang w:val="lv-LV"/>
              </w:rPr>
              <w:t>)</w:t>
            </w:r>
            <w:r w:rsidRPr="00175729">
              <w:rPr>
                <w:sz w:val="22"/>
                <w:szCs w:val="22"/>
                <w:lang w:val="lv-LV"/>
              </w:rPr>
              <w:t>.</w:t>
            </w:r>
            <w:r w:rsidR="002763D4" w:rsidRPr="00175729">
              <w:rPr>
                <w:sz w:val="22"/>
                <w:szCs w:val="22"/>
                <w:lang w:val="lv-LV"/>
              </w:rPr>
              <w:t xml:space="preserve"> </w:t>
            </w:r>
          </w:p>
          <w:p w14:paraId="1311FD35" w14:textId="32B5BD4C" w:rsidR="00CD5B78" w:rsidRPr="003F0E9A" w:rsidRDefault="00CD5B78" w:rsidP="00DE3362">
            <w:pPr>
              <w:pStyle w:val="Text3"/>
              <w:snapToGrid w:val="0"/>
              <w:spacing w:after="0"/>
              <w:ind w:left="0"/>
              <w:rPr>
                <w:sz w:val="22"/>
                <w:szCs w:val="22"/>
                <w:lang w:val="lv-LV"/>
              </w:rPr>
            </w:pPr>
            <w:r w:rsidRPr="003F0E9A">
              <w:rPr>
                <w:sz w:val="22"/>
                <w:szCs w:val="22"/>
                <w:lang w:val="lv-LV"/>
              </w:rPr>
              <w:t>Gadījumos, ja</w:t>
            </w:r>
            <w:r w:rsidR="002B1D30">
              <w:rPr>
                <w:sz w:val="22"/>
                <w:szCs w:val="22"/>
                <w:lang w:val="lv-LV"/>
              </w:rPr>
              <w:t xml:space="preserve">, piemēram, </w:t>
            </w:r>
            <w:r w:rsidR="002B1D30" w:rsidRPr="003F0E9A">
              <w:rPr>
                <w:sz w:val="22"/>
                <w:szCs w:val="22"/>
                <w:lang w:val="lv-LV"/>
              </w:rPr>
              <w:t>pārbaud</w:t>
            </w:r>
            <w:r w:rsidR="002B1D30">
              <w:rPr>
                <w:sz w:val="22"/>
                <w:szCs w:val="22"/>
                <w:lang w:val="lv-LV"/>
              </w:rPr>
              <w:t>ē projekta īstenošanas vietā</w:t>
            </w:r>
            <w:r w:rsidR="002B1D30" w:rsidRPr="003F0E9A">
              <w:rPr>
                <w:sz w:val="22"/>
                <w:szCs w:val="22"/>
                <w:lang w:val="lv-LV"/>
              </w:rPr>
              <w:t xml:space="preserve"> </w:t>
            </w:r>
            <w:r w:rsidRPr="003F0E9A">
              <w:rPr>
                <w:sz w:val="22"/>
                <w:szCs w:val="22"/>
                <w:lang w:val="lv-LV"/>
              </w:rPr>
              <w:t>ir konstatēti pārkāpumi publicitātes normu ievērošanā un ir dots termiņš trūkumu novēršanai un revīzijas</w:t>
            </w:r>
            <w:r w:rsidR="00071B01">
              <w:rPr>
                <w:sz w:val="22"/>
                <w:szCs w:val="22"/>
                <w:lang w:val="lv-LV"/>
              </w:rPr>
              <w:t xml:space="preserve"> iestāde vai</w:t>
            </w:r>
            <w:r w:rsidRPr="003F0E9A">
              <w:rPr>
                <w:sz w:val="22"/>
                <w:szCs w:val="22"/>
                <w:lang w:val="lv-LV"/>
              </w:rPr>
              <w:t xml:space="preserve"> sadarbības iestāde konstatē, ka termiņš tiek kavēts, tiek piemērota finanšu korekcija 2% apmērā</w:t>
            </w:r>
            <w:r w:rsidR="00DE3362">
              <w:rPr>
                <w:sz w:val="22"/>
                <w:szCs w:val="22"/>
                <w:lang w:val="lv-LV"/>
              </w:rPr>
              <w:t xml:space="preserve"> </w:t>
            </w:r>
            <w:r w:rsidR="00A357C1">
              <w:rPr>
                <w:sz w:val="22"/>
                <w:szCs w:val="22"/>
                <w:lang w:val="lv-LV"/>
              </w:rPr>
              <w:t>maksājuma pieprasījumā iekļautajām</w:t>
            </w:r>
            <w:r w:rsidRPr="003F0E9A">
              <w:rPr>
                <w:sz w:val="22"/>
                <w:szCs w:val="22"/>
                <w:lang w:val="lv-LV"/>
              </w:rPr>
              <w:t xml:space="preserve"> publicitātes izmaksām.</w:t>
            </w:r>
          </w:p>
        </w:tc>
        <w:tc>
          <w:tcPr>
            <w:tcW w:w="912" w:type="pct"/>
            <w:tcBorders>
              <w:bottom w:val="single" w:sz="4" w:space="0" w:color="auto"/>
            </w:tcBorders>
          </w:tcPr>
          <w:p w14:paraId="342BA8A1" w14:textId="77777777" w:rsidR="009F64F4" w:rsidRPr="009D07C7" w:rsidRDefault="009F64F4" w:rsidP="00E65D59">
            <w:pPr>
              <w:jc w:val="center"/>
              <w:rPr>
                <w:sz w:val="22"/>
                <w:szCs w:val="22"/>
              </w:rPr>
            </w:pPr>
            <w:r w:rsidRPr="009D07C7">
              <w:rPr>
                <w:sz w:val="22"/>
                <w:szCs w:val="22"/>
              </w:rPr>
              <w:t>2%</w:t>
            </w:r>
            <w:r w:rsidR="00204392" w:rsidRPr="009D07C7">
              <w:rPr>
                <w:sz w:val="22"/>
                <w:szCs w:val="22"/>
              </w:rPr>
              <w:t xml:space="preserve"> </w:t>
            </w:r>
          </w:p>
          <w:p w14:paraId="09F1022E" w14:textId="77777777" w:rsidR="00516A85" w:rsidRPr="009D07C7" w:rsidRDefault="00516A85" w:rsidP="00E65D59">
            <w:pPr>
              <w:jc w:val="center"/>
              <w:rPr>
                <w:sz w:val="22"/>
                <w:szCs w:val="22"/>
              </w:rPr>
            </w:pPr>
          </w:p>
          <w:p w14:paraId="7DED6271" w14:textId="77777777" w:rsidR="00516A85" w:rsidRPr="009D07C7" w:rsidRDefault="006610D6" w:rsidP="006A7926">
            <w:pPr>
              <w:jc w:val="both"/>
              <w:rPr>
                <w:sz w:val="22"/>
                <w:szCs w:val="22"/>
              </w:rPr>
            </w:pPr>
            <w:r>
              <w:rPr>
                <w:sz w:val="22"/>
                <w:szCs w:val="22"/>
              </w:rPr>
              <w:t xml:space="preserve">Finanšu </w:t>
            </w:r>
            <w:r w:rsidR="00516A85" w:rsidRPr="009D07C7">
              <w:rPr>
                <w:sz w:val="22"/>
                <w:szCs w:val="22"/>
              </w:rPr>
              <w:t>korekciju piemēro</w:t>
            </w:r>
            <w:r>
              <w:rPr>
                <w:sz w:val="22"/>
                <w:szCs w:val="22"/>
              </w:rPr>
              <w:t xml:space="preserve"> maksājuma pieprasījumā iekļautajām</w:t>
            </w:r>
            <w:r w:rsidR="00516A85" w:rsidRPr="009D07C7">
              <w:rPr>
                <w:sz w:val="22"/>
                <w:szCs w:val="22"/>
              </w:rPr>
              <w:t xml:space="preserve"> publicitātes </w:t>
            </w:r>
            <w:r w:rsidR="006A7926" w:rsidRPr="003F0E9A">
              <w:rPr>
                <w:sz w:val="22"/>
                <w:szCs w:val="22"/>
              </w:rPr>
              <w:t>(plakāta, stenda, plāksnes)</w:t>
            </w:r>
            <w:r w:rsidR="006A7926">
              <w:rPr>
                <w:sz w:val="22"/>
                <w:szCs w:val="22"/>
              </w:rPr>
              <w:t xml:space="preserve"> </w:t>
            </w:r>
            <w:r w:rsidR="00516A85" w:rsidRPr="009D07C7">
              <w:rPr>
                <w:sz w:val="22"/>
                <w:szCs w:val="22"/>
              </w:rPr>
              <w:t xml:space="preserve">izmaksām </w:t>
            </w:r>
          </w:p>
        </w:tc>
      </w:tr>
      <w:tr w:rsidR="00DD563F" w:rsidRPr="009D07C7" w14:paraId="6D101748" w14:textId="77777777" w:rsidTr="009B643B">
        <w:tc>
          <w:tcPr>
            <w:tcW w:w="276" w:type="pct"/>
            <w:tcBorders>
              <w:bottom w:val="single" w:sz="4" w:space="0" w:color="auto"/>
            </w:tcBorders>
          </w:tcPr>
          <w:p w14:paraId="265746E9" w14:textId="77777777" w:rsidR="00DD563F" w:rsidRPr="009D07C7" w:rsidRDefault="00DD563F" w:rsidP="00E65D59">
            <w:pPr>
              <w:numPr>
                <w:ilvl w:val="0"/>
                <w:numId w:val="1"/>
              </w:numPr>
              <w:rPr>
                <w:sz w:val="22"/>
                <w:szCs w:val="22"/>
              </w:rPr>
            </w:pPr>
          </w:p>
        </w:tc>
        <w:tc>
          <w:tcPr>
            <w:tcW w:w="1726" w:type="pct"/>
            <w:tcBorders>
              <w:bottom w:val="single" w:sz="4" w:space="0" w:color="auto"/>
            </w:tcBorders>
          </w:tcPr>
          <w:p w14:paraId="7D483268" w14:textId="77777777" w:rsidR="00DD563F" w:rsidRPr="00654481" w:rsidRDefault="00DD563F" w:rsidP="00C91BD3">
            <w:pPr>
              <w:jc w:val="both"/>
              <w:rPr>
                <w:b/>
                <w:sz w:val="22"/>
                <w:szCs w:val="22"/>
              </w:rPr>
            </w:pPr>
            <w:r w:rsidRPr="00654481">
              <w:rPr>
                <w:b/>
                <w:sz w:val="22"/>
                <w:szCs w:val="22"/>
              </w:rPr>
              <w:t>Nav ievērotas vispārīgās Latvijas Republikas un Eiropas Savienības normatīvo aktu prasības attiecīgajā jomā</w:t>
            </w:r>
          </w:p>
        </w:tc>
        <w:tc>
          <w:tcPr>
            <w:tcW w:w="2086" w:type="pct"/>
            <w:gridSpan w:val="2"/>
            <w:tcBorders>
              <w:bottom w:val="single" w:sz="4" w:space="0" w:color="auto"/>
            </w:tcBorders>
          </w:tcPr>
          <w:p w14:paraId="55C2B0D9" w14:textId="2899BF7C" w:rsidR="00DD563F" w:rsidRPr="00654481" w:rsidRDefault="00DD563F" w:rsidP="00E65D59">
            <w:pPr>
              <w:pStyle w:val="Text3"/>
              <w:snapToGrid w:val="0"/>
              <w:spacing w:after="0"/>
              <w:ind w:left="0"/>
              <w:rPr>
                <w:sz w:val="22"/>
                <w:szCs w:val="22"/>
                <w:lang w:val="lv-LV"/>
              </w:rPr>
            </w:pPr>
            <w:r w:rsidRPr="00654481">
              <w:rPr>
                <w:sz w:val="22"/>
                <w:szCs w:val="22"/>
                <w:lang w:val="lv-LV"/>
              </w:rPr>
              <w:t>Normatīvo aktu pārkāpumi grāmatvedības, nodokļu,</w:t>
            </w:r>
            <w:r w:rsidR="008C2245">
              <w:rPr>
                <w:sz w:val="22"/>
                <w:szCs w:val="22"/>
                <w:lang w:val="lv-LV"/>
              </w:rPr>
              <w:t xml:space="preserve"> būvniecības,</w:t>
            </w:r>
            <w:r w:rsidR="002F172E">
              <w:rPr>
                <w:sz w:val="22"/>
                <w:szCs w:val="22"/>
                <w:lang w:val="lv-LV"/>
              </w:rPr>
              <w:t xml:space="preserve"> godīgas konkurences,</w:t>
            </w:r>
            <w:r w:rsidRPr="00654481">
              <w:rPr>
                <w:sz w:val="22"/>
                <w:szCs w:val="22"/>
                <w:lang w:val="lv-LV"/>
              </w:rPr>
              <w:t xml:space="preserve"> kā arī citu jomu normatīvo aktu pārkāpumi (izņemot iepirkuma jomā, kas tiek atsevišķi atrun</w:t>
            </w:r>
            <w:r w:rsidR="00EB321D" w:rsidRPr="00654481">
              <w:rPr>
                <w:sz w:val="22"/>
                <w:szCs w:val="22"/>
                <w:lang w:val="lv-LV"/>
              </w:rPr>
              <w:t>āta šajās vadlīnijās, kā arī citus</w:t>
            </w:r>
            <w:r w:rsidRPr="00654481">
              <w:rPr>
                <w:sz w:val="22"/>
                <w:szCs w:val="22"/>
                <w:lang w:val="lv-LV"/>
              </w:rPr>
              <w:t xml:space="preserve"> pārkāpumus, kas tiek atrunāti šajās vadlīnijās).</w:t>
            </w:r>
          </w:p>
          <w:p w14:paraId="18F1A7B1" w14:textId="77777777" w:rsidR="008C2245" w:rsidRDefault="00AD6F9A" w:rsidP="00E65D59">
            <w:pPr>
              <w:pStyle w:val="Text3"/>
              <w:snapToGrid w:val="0"/>
              <w:spacing w:after="0"/>
              <w:ind w:left="0"/>
              <w:rPr>
                <w:i/>
                <w:sz w:val="22"/>
                <w:szCs w:val="22"/>
                <w:lang w:val="lv-LV"/>
              </w:rPr>
            </w:pPr>
            <w:r w:rsidRPr="008C2245">
              <w:rPr>
                <w:i/>
                <w:sz w:val="22"/>
                <w:szCs w:val="22"/>
                <w:lang w:val="lv-LV"/>
              </w:rPr>
              <w:t>Piemēr</w:t>
            </w:r>
            <w:r w:rsidR="008C2245">
              <w:rPr>
                <w:i/>
                <w:sz w:val="22"/>
                <w:szCs w:val="22"/>
                <w:lang w:val="lv-LV"/>
              </w:rPr>
              <w:t>s:</w:t>
            </w:r>
          </w:p>
          <w:p w14:paraId="51B40CDE" w14:textId="69CDCDCA" w:rsidR="003D0909" w:rsidRDefault="008C2245" w:rsidP="002F172E">
            <w:pPr>
              <w:pStyle w:val="Text3"/>
              <w:snapToGrid w:val="0"/>
              <w:spacing w:after="0"/>
              <w:ind w:left="0"/>
              <w:rPr>
                <w:i/>
                <w:sz w:val="22"/>
                <w:szCs w:val="22"/>
                <w:lang w:val="lv-LV"/>
              </w:rPr>
            </w:pPr>
            <w:r>
              <w:rPr>
                <w:i/>
                <w:sz w:val="22"/>
                <w:szCs w:val="22"/>
                <w:lang w:val="lv-LV"/>
              </w:rPr>
              <w:t>T</w:t>
            </w:r>
            <w:r w:rsidR="00AD6F9A" w:rsidRPr="008C2245">
              <w:rPr>
                <w:i/>
                <w:sz w:val="22"/>
                <w:szCs w:val="22"/>
                <w:lang w:val="lv-LV"/>
              </w:rPr>
              <w:t xml:space="preserve">iek </w:t>
            </w:r>
            <w:r w:rsidR="00B32540" w:rsidRPr="008C2245">
              <w:rPr>
                <w:i/>
                <w:sz w:val="22"/>
                <w:szCs w:val="22"/>
                <w:lang w:val="lv-LV"/>
              </w:rPr>
              <w:t>konstatēts, ka netiek ievēroti vispārīgi</w:t>
            </w:r>
            <w:r w:rsidR="002F172E">
              <w:rPr>
                <w:i/>
                <w:sz w:val="22"/>
                <w:szCs w:val="22"/>
                <w:lang w:val="lv-LV"/>
              </w:rPr>
              <w:t>e LR</w:t>
            </w:r>
            <w:r w:rsidR="00DB71AF" w:rsidRPr="008C2245">
              <w:rPr>
                <w:i/>
                <w:sz w:val="22"/>
                <w:szCs w:val="22"/>
                <w:lang w:val="lv-LV"/>
              </w:rPr>
              <w:t xml:space="preserve"> </w:t>
            </w:r>
            <w:r w:rsidR="00B32540" w:rsidRPr="008C2245">
              <w:rPr>
                <w:i/>
                <w:sz w:val="22"/>
                <w:szCs w:val="22"/>
                <w:lang w:val="lv-LV"/>
              </w:rPr>
              <w:t>normatīvie akti</w:t>
            </w:r>
            <w:r w:rsidR="00AD6F9A" w:rsidRPr="008C2245">
              <w:rPr>
                <w:i/>
                <w:sz w:val="22"/>
                <w:szCs w:val="22"/>
                <w:lang w:val="lv-LV"/>
              </w:rPr>
              <w:t xml:space="preserve"> būvniecības jomā, kuri nosaka, ka</w:t>
            </w:r>
            <w:r w:rsidR="00A4162B" w:rsidRPr="008C2245">
              <w:rPr>
                <w:i/>
                <w:sz w:val="22"/>
                <w:szCs w:val="22"/>
                <w:lang w:val="lv-LV"/>
              </w:rPr>
              <w:t>,</w:t>
            </w:r>
            <w:r w:rsidR="00AD6F9A" w:rsidRPr="008C2245">
              <w:rPr>
                <w:i/>
                <w:sz w:val="22"/>
                <w:szCs w:val="22"/>
                <w:lang w:val="lv-LV"/>
              </w:rPr>
              <w:t xml:space="preserve"> veicot ē</w:t>
            </w:r>
            <w:r w:rsidR="00B302B3" w:rsidRPr="008C2245">
              <w:rPr>
                <w:i/>
                <w:sz w:val="22"/>
                <w:szCs w:val="22"/>
                <w:lang w:val="lv-LV"/>
              </w:rPr>
              <w:t>k</w:t>
            </w:r>
            <w:r w:rsidR="00AD6F9A" w:rsidRPr="008C2245">
              <w:rPr>
                <w:i/>
                <w:sz w:val="22"/>
                <w:szCs w:val="22"/>
                <w:lang w:val="lv-LV"/>
              </w:rPr>
              <w:t>u ārējo sienu apmesto fasāžu projektu risinājumus</w:t>
            </w:r>
            <w:r w:rsidR="00A4162B" w:rsidRPr="008C2245">
              <w:rPr>
                <w:i/>
                <w:sz w:val="22"/>
                <w:szCs w:val="22"/>
                <w:lang w:val="lv-LV"/>
              </w:rPr>
              <w:t>,</w:t>
            </w:r>
            <w:r w:rsidR="00AD6F9A" w:rsidRPr="008C2245">
              <w:rPr>
                <w:i/>
                <w:sz w:val="22"/>
                <w:szCs w:val="22"/>
                <w:lang w:val="lv-LV"/>
              </w:rPr>
              <w:t xml:space="preserve"> tie jāizstrādā atbilstoši Eiropas tehniskajiem apstiprinājumiem. Attiecīgi izvērtējot pārkāpuma būtiskumu – vai ieviestie risinājumi ir pielīdzināmi normatīvos aktos noteiktajam un tos iespējams sertificēt</w:t>
            </w:r>
            <w:r w:rsidR="00A4162B" w:rsidRPr="008C2245">
              <w:rPr>
                <w:i/>
                <w:sz w:val="22"/>
                <w:szCs w:val="22"/>
                <w:lang w:val="lv-LV"/>
              </w:rPr>
              <w:t>,</w:t>
            </w:r>
            <w:r w:rsidR="00AD6F9A" w:rsidRPr="008C2245">
              <w:rPr>
                <w:i/>
                <w:sz w:val="22"/>
                <w:szCs w:val="22"/>
                <w:lang w:val="lv-LV"/>
              </w:rPr>
              <w:t xml:space="preserve"> var piemērot samazinātu</w:t>
            </w:r>
            <w:r>
              <w:rPr>
                <w:i/>
                <w:sz w:val="22"/>
                <w:szCs w:val="22"/>
                <w:lang w:val="lv-LV"/>
              </w:rPr>
              <w:t xml:space="preserve"> procentuālo</w:t>
            </w:r>
            <w:r w:rsidR="00AD6F9A" w:rsidRPr="00C97FED">
              <w:rPr>
                <w:i/>
                <w:sz w:val="22"/>
                <w:szCs w:val="22"/>
                <w:lang w:val="lv-LV"/>
              </w:rPr>
              <w:t xml:space="preserve"> finanšu korekcijas likmi. </w:t>
            </w:r>
          </w:p>
          <w:p w14:paraId="51E61395" w14:textId="77777777" w:rsidR="005D3AC9" w:rsidRDefault="005D3AC9" w:rsidP="005D3AC9">
            <w:pPr>
              <w:jc w:val="both"/>
              <w:rPr>
                <w:b/>
                <w:sz w:val="22"/>
                <w:szCs w:val="22"/>
              </w:rPr>
            </w:pPr>
          </w:p>
          <w:p w14:paraId="4FEFF750" w14:textId="21E4643C" w:rsidR="005D3AC9" w:rsidRDefault="005D3AC9" w:rsidP="005D3AC9">
            <w:pPr>
              <w:jc w:val="both"/>
              <w:rPr>
                <w:b/>
                <w:sz w:val="22"/>
                <w:szCs w:val="22"/>
              </w:rPr>
            </w:pPr>
            <w:r w:rsidRPr="00583E07">
              <w:rPr>
                <w:b/>
                <w:sz w:val="22"/>
                <w:szCs w:val="22"/>
              </w:rPr>
              <w:t>Aizliegtas vienošanās gadījumā</w:t>
            </w:r>
            <w:r>
              <w:rPr>
                <w:b/>
                <w:sz w:val="22"/>
                <w:szCs w:val="22"/>
              </w:rPr>
              <w:t>:</w:t>
            </w:r>
          </w:p>
          <w:p w14:paraId="43EFA515" w14:textId="77777777" w:rsidR="005D3AC9" w:rsidRPr="003B13B2" w:rsidRDefault="005D3AC9" w:rsidP="005D3AC9">
            <w:pPr>
              <w:jc w:val="both"/>
              <w:rPr>
                <w:sz w:val="22"/>
                <w:szCs w:val="22"/>
              </w:rPr>
            </w:pPr>
            <w:r>
              <w:rPr>
                <w:sz w:val="22"/>
                <w:szCs w:val="22"/>
              </w:rPr>
              <w:t>V</w:t>
            </w:r>
            <w:r w:rsidRPr="00583E07">
              <w:rPr>
                <w:sz w:val="22"/>
                <w:szCs w:val="22"/>
              </w:rPr>
              <w:t>isi gadījumi ir sūtāmi Konkurences padomei izvērtēšanai</w:t>
            </w:r>
            <w:r w:rsidRPr="00583E07">
              <w:rPr>
                <w:b/>
                <w:sz w:val="22"/>
                <w:szCs w:val="22"/>
              </w:rPr>
              <w:t xml:space="preserve">, </w:t>
            </w:r>
            <w:r w:rsidRPr="003B13B2">
              <w:rPr>
                <w:sz w:val="22"/>
                <w:szCs w:val="22"/>
              </w:rPr>
              <w:t xml:space="preserve">jo tikai Konkurences padome var noteikt to, </w:t>
            </w:r>
            <w:r>
              <w:rPr>
                <w:sz w:val="22"/>
                <w:szCs w:val="22"/>
              </w:rPr>
              <w:t>kas</w:t>
            </w:r>
            <w:r w:rsidRPr="003B13B2">
              <w:rPr>
                <w:sz w:val="22"/>
                <w:szCs w:val="22"/>
              </w:rPr>
              <w:t xml:space="preserve"> ir bijis iesaistīts aizliegtajā vienošanās.</w:t>
            </w:r>
          </w:p>
          <w:p w14:paraId="4F1407BE" w14:textId="77777777" w:rsidR="005D3AC9" w:rsidRDefault="005D3AC9" w:rsidP="002F172E">
            <w:pPr>
              <w:pStyle w:val="Text3"/>
              <w:snapToGrid w:val="0"/>
              <w:spacing w:after="0"/>
              <w:ind w:left="0"/>
              <w:rPr>
                <w:i/>
                <w:sz w:val="22"/>
                <w:szCs w:val="22"/>
                <w:lang w:val="lv-LV"/>
              </w:rPr>
            </w:pPr>
          </w:p>
          <w:p w14:paraId="7FC72B8F" w14:textId="4F74FE2F" w:rsidR="002F172E" w:rsidRPr="009D07C7" w:rsidRDefault="005D3AC9" w:rsidP="00864D88">
            <w:pPr>
              <w:jc w:val="both"/>
              <w:rPr>
                <w:iCs/>
                <w:sz w:val="22"/>
                <w:szCs w:val="22"/>
              </w:rPr>
            </w:pPr>
            <w:r w:rsidRPr="003E228B">
              <w:rPr>
                <w:sz w:val="22"/>
                <w:szCs w:val="22"/>
              </w:rPr>
              <w:t>Ja</w:t>
            </w:r>
            <w:r>
              <w:rPr>
                <w:sz w:val="22"/>
                <w:szCs w:val="22"/>
              </w:rPr>
              <w:t xml:space="preserve"> </w:t>
            </w:r>
            <w:r w:rsidRPr="003E228B">
              <w:rPr>
                <w:sz w:val="22"/>
                <w:szCs w:val="22"/>
              </w:rPr>
              <w:t>saskaņā ar Konkurences padomes lēmumu</w:t>
            </w:r>
            <w:r w:rsidRPr="003E228B">
              <w:rPr>
                <w:b/>
                <w:sz w:val="22"/>
                <w:szCs w:val="22"/>
              </w:rPr>
              <w:t xml:space="preserve"> </w:t>
            </w:r>
            <w:r w:rsidRPr="00FE4474">
              <w:rPr>
                <w:sz w:val="22"/>
                <w:szCs w:val="22"/>
              </w:rPr>
              <w:t>iepirkumā ir uzvarējis pretendents, kam bijusi aizliegta vienošanās</w:t>
            </w:r>
            <w:r w:rsidRPr="003E228B">
              <w:rPr>
                <w:sz w:val="22"/>
                <w:szCs w:val="22"/>
              </w:rPr>
              <w:t xml:space="preserve"> (iesaistīts cenas noteikšanā) </w:t>
            </w:r>
            <w:r w:rsidRPr="00FE4474">
              <w:rPr>
                <w:sz w:val="22"/>
                <w:szCs w:val="22"/>
              </w:rPr>
              <w:t xml:space="preserve">un </w:t>
            </w:r>
            <w:r w:rsidRPr="00FE4474">
              <w:rPr>
                <w:b/>
                <w:sz w:val="22"/>
                <w:szCs w:val="22"/>
              </w:rPr>
              <w:t>kāds ES fondu administrēšanā iesaistīts pārstāvis vai finansējuma saņēmējs ir piedalījies cenas noteikšanā</w:t>
            </w:r>
            <w:r w:rsidRPr="00FE4474">
              <w:rPr>
                <w:sz w:val="22"/>
                <w:szCs w:val="22"/>
              </w:rPr>
              <w:t xml:space="preserve"> </w:t>
            </w:r>
            <w:r w:rsidRPr="003E228B">
              <w:rPr>
                <w:sz w:val="22"/>
                <w:szCs w:val="22"/>
              </w:rPr>
              <w:t>un konsultējis pretendentus</w:t>
            </w:r>
            <w:r>
              <w:rPr>
                <w:sz w:val="22"/>
                <w:szCs w:val="22"/>
              </w:rPr>
              <w:t xml:space="preserve">, lūgums skatīt šī pielikuma 4.punktu </w:t>
            </w:r>
            <w:r w:rsidRPr="003E228B">
              <w:rPr>
                <w:sz w:val="22"/>
                <w:szCs w:val="22"/>
              </w:rPr>
              <w:t>“Krāpšana”</w:t>
            </w:r>
            <w:r>
              <w:rPr>
                <w:sz w:val="22"/>
                <w:szCs w:val="22"/>
              </w:rPr>
              <w:t>.</w:t>
            </w:r>
          </w:p>
        </w:tc>
        <w:tc>
          <w:tcPr>
            <w:tcW w:w="912" w:type="pct"/>
            <w:tcBorders>
              <w:bottom w:val="single" w:sz="4" w:space="0" w:color="auto"/>
            </w:tcBorders>
            <w:shd w:val="clear" w:color="auto" w:fill="FFFFFF"/>
          </w:tcPr>
          <w:p w14:paraId="16DEFEC5" w14:textId="77777777" w:rsidR="00DD563F" w:rsidRPr="009D07C7" w:rsidRDefault="00DD563F" w:rsidP="00E65D59">
            <w:pPr>
              <w:jc w:val="center"/>
              <w:rPr>
                <w:sz w:val="22"/>
                <w:szCs w:val="22"/>
              </w:rPr>
            </w:pPr>
            <w:r w:rsidRPr="009D07C7">
              <w:rPr>
                <w:sz w:val="22"/>
                <w:szCs w:val="22"/>
              </w:rPr>
              <w:t>25%</w:t>
            </w:r>
          </w:p>
          <w:p w14:paraId="03E07BC0" w14:textId="77777777" w:rsidR="003B13B2" w:rsidRDefault="0046667C" w:rsidP="003B13B2">
            <w:pPr>
              <w:pStyle w:val="ListParagraph"/>
              <w:tabs>
                <w:tab w:val="left" w:pos="379"/>
              </w:tabs>
              <w:ind w:left="39"/>
              <w:jc w:val="both"/>
              <w:rPr>
                <w:sz w:val="22"/>
              </w:rPr>
            </w:pPr>
            <w:r w:rsidRPr="009D07C7">
              <w:rPr>
                <w:sz w:val="22"/>
              </w:rPr>
              <w:t>Ir pieļaujamas arī finanšu korekcijas 10%, 5% un 2% apmērā</w:t>
            </w:r>
            <w:r w:rsidR="00DD563F" w:rsidRPr="009D07C7">
              <w:rPr>
                <w:sz w:val="22"/>
              </w:rPr>
              <w:t>, ņemot vērā pārkāpuma būtiskumu un ietekmi uz projekta īstenošanu un izdevumu pamatotību.</w:t>
            </w:r>
          </w:p>
          <w:p w14:paraId="55F8205B" w14:textId="77777777" w:rsidR="008C2245" w:rsidRDefault="008C2245" w:rsidP="003B13B2">
            <w:pPr>
              <w:pStyle w:val="ListParagraph"/>
              <w:tabs>
                <w:tab w:val="left" w:pos="379"/>
              </w:tabs>
              <w:ind w:left="39"/>
              <w:jc w:val="both"/>
              <w:rPr>
                <w:sz w:val="22"/>
              </w:rPr>
            </w:pPr>
          </w:p>
          <w:p w14:paraId="2AFE3853" w14:textId="77777777" w:rsidR="008C2245" w:rsidRDefault="008C2245" w:rsidP="003B13B2">
            <w:pPr>
              <w:pStyle w:val="ListParagraph"/>
              <w:ind w:left="0"/>
              <w:jc w:val="both"/>
              <w:rPr>
                <w:b/>
                <w:sz w:val="22"/>
              </w:rPr>
            </w:pPr>
          </w:p>
          <w:p w14:paraId="799BC008" w14:textId="77777777" w:rsidR="00FE4474" w:rsidRDefault="00FE4474" w:rsidP="002F172E">
            <w:pPr>
              <w:pStyle w:val="ListParagraph"/>
              <w:ind w:left="0"/>
              <w:jc w:val="both"/>
              <w:rPr>
                <w:b/>
                <w:sz w:val="22"/>
              </w:rPr>
            </w:pPr>
          </w:p>
          <w:p w14:paraId="660F0EDA" w14:textId="77777777" w:rsidR="00FE4474" w:rsidRDefault="00FE4474" w:rsidP="002F172E">
            <w:pPr>
              <w:pStyle w:val="ListParagraph"/>
              <w:ind w:left="0"/>
              <w:jc w:val="both"/>
              <w:rPr>
                <w:b/>
                <w:sz w:val="22"/>
              </w:rPr>
            </w:pPr>
          </w:p>
          <w:p w14:paraId="6ABA4FE1" w14:textId="77777777" w:rsidR="00FE4474" w:rsidRDefault="00FE4474" w:rsidP="002F172E">
            <w:pPr>
              <w:pStyle w:val="ListParagraph"/>
              <w:ind w:left="0"/>
              <w:jc w:val="both"/>
              <w:rPr>
                <w:b/>
                <w:sz w:val="22"/>
              </w:rPr>
            </w:pPr>
          </w:p>
          <w:p w14:paraId="518ABCBE" w14:textId="77777777" w:rsidR="00FE4474" w:rsidRDefault="00FE4474" w:rsidP="002F172E">
            <w:pPr>
              <w:pStyle w:val="ListParagraph"/>
              <w:ind w:left="0"/>
              <w:jc w:val="both"/>
              <w:rPr>
                <w:b/>
                <w:sz w:val="22"/>
              </w:rPr>
            </w:pPr>
          </w:p>
          <w:p w14:paraId="3FA451EF" w14:textId="77777777" w:rsidR="00FE4474" w:rsidRDefault="00FE4474" w:rsidP="002F172E">
            <w:pPr>
              <w:pStyle w:val="ListParagraph"/>
              <w:ind w:left="0"/>
              <w:jc w:val="both"/>
              <w:rPr>
                <w:b/>
                <w:sz w:val="22"/>
              </w:rPr>
            </w:pPr>
          </w:p>
          <w:p w14:paraId="08135D65" w14:textId="0764C348" w:rsidR="002F172E" w:rsidRPr="00C22A5F" w:rsidRDefault="002F172E" w:rsidP="002F172E">
            <w:pPr>
              <w:pStyle w:val="ListParagraph"/>
              <w:ind w:left="0"/>
              <w:jc w:val="both"/>
              <w:rPr>
                <w:sz w:val="10"/>
                <w:szCs w:val="10"/>
              </w:rPr>
            </w:pPr>
            <w:r w:rsidRPr="00583E07">
              <w:rPr>
                <w:b/>
                <w:sz w:val="22"/>
              </w:rPr>
              <w:t>Aizliegtas vienošanās gadījumā</w:t>
            </w:r>
            <w:r>
              <w:rPr>
                <w:b/>
                <w:sz w:val="22"/>
              </w:rPr>
              <w:t>:</w:t>
            </w:r>
          </w:p>
          <w:p w14:paraId="69F29B58" w14:textId="77777777" w:rsidR="002F172E" w:rsidRDefault="002F172E" w:rsidP="002F172E">
            <w:pPr>
              <w:pStyle w:val="ListParagraph"/>
              <w:tabs>
                <w:tab w:val="left" w:pos="243"/>
              </w:tabs>
              <w:spacing w:before="120"/>
              <w:ind w:left="39"/>
              <w:jc w:val="both"/>
              <w:rPr>
                <w:sz w:val="22"/>
              </w:rPr>
            </w:pPr>
            <w:r w:rsidRPr="00920E5F">
              <w:rPr>
                <w:sz w:val="22"/>
              </w:rPr>
              <w:t xml:space="preserve">Ja iepirkumā ir </w:t>
            </w:r>
            <w:r w:rsidRPr="00920E5F">
              <w:rPr>
                <w:sz w:val="22"/>
                <w:u w:val="single"/>
              </w:rPr>
              <w:t>uzvarējis pretendents, kam bijusi aizliegta vienošanās</w:t>
            </w:r>
            <w:r w:rsidRPr="00920E5F">
              <w:rPr>
                <w:sz w:val="22"/>
              </w:rPr>
              <w:t xml:space="preserve"> (iesaistīts cenas noteikšanā), taču </w:t>
            </w:r>
            <w:r w:rsidRPr="00920E5F">
              <w:rPr>
                <w:sz w:val="22"/>
                <w:u w:val="single"/>
              </w:rPr>
              <w:t>neviens ES fondu administrēšanā iesaistīts pārstāvis vai finansējuma saņēmējs nav piedalījies cenas noteikšanā/aizliegtajā vienošanās</w:t>
            </w:r>
            <w:r w:rsidRPr="00920E5F">
              <w:rPr>
                <w:sz w:val="22"/>
              </w:rPr>
              <w:t xml:space="preserve">, pastāv </w:t>
            </w:r>
            <w:r w:rsidRPr="00920E5F">
              <w:rPr>
                <w:b/>
                <w:sz w:val="22"/>
              </w:rPr>
              <w:t>divi iespējamie scenāriji</w:t>
            </w:r>
            <w:r w:rsidRPr="00920E5F">
              <w:rPr>
                <w:sz w:val="22"/>
              </w:rPr>
              <w:t>:</w:t>
            </w:r>
          </w:p>
          <w:p w14:paraId="1B3E6CE4" w14:textId="77777777" w:rsidR="002F172E" w:rsidRDefault="002F172E" w:rsidP="002F172E">
            <w:pPr>
              <w:ind w:firstLine="464"/>
              <w:jc w:val="both"/>
              <w:rPr>
                <w:sz w:val="22"/>
              </w:rPr>
            </w:pPr>
            <w:r>
              <w:rPr>
                <w:sz w:val="22"/>
              </w:rPr>
              <w:t xml:space="preserve">1.) </w:t>
            </w:r>
            <w:r w:rsidRPr="00873DB3">
              <w:rPr>
                <w:sz w:val="22"/>
              </w:rPr>
              <w:t xml:space="preserve">Ja iepirkumā ir piedalījušies </w:t>
            </w:r>
            <w:r w:rsidRPr="00873DB3">
              <w:rPr>
                <w:sz w:val="22"/>
                <w:u w:val="single"/>
              </w:rPr>
              <w:t>tikai aizliegtajā vienošanās iesaistītie pretendenti</w:t>
            </w:r>
            <w:r w:rsidRPr="00873DB3">
              <w:rPr>
                <w:sz w:val="22"/>
              </w:rPr>
              <w:t xml:space="preserve">, piemērojama </w:t>
            </w:r>
            <w:r w:rsidRPr="00873DB3">
              <w:rPr>
                <w:b/>
                <w:sz w:val="22"/>
              </w:rPr>
              <w:t>finanšu korekcija</w:t>
            </w:r>
            <w:r w:rsidRPr="00873DB3">
              <w:rPr>
                <w:sz w:val="22"/>
              </w:rPr>
              <w:t xml:space="preserve"> </w:t>
            </w:r>
            <w:r w:rsidRPr="00873DB3">
              <w:rPr>
                <w:b/>
                <w:sz w:val="22"/>
              </w:rPr>
              <w:t>25% apmērā</w:t>
            </w:r>
            <w:r w:rsidRPr="00873DB3">
              <w:rPr>
                <w:sz w:val="22"/>
              </w:rPr>
              <w:t>;</w:t>
            </w:r>
          </w:p>
          <w:p w14:paraId="44E42C36" w14:textId="77777777" w:rsidR="002F172E" w:rsidRPr="00873DB3" w:rsidRDefault="002F172E" w:rsidP="002F172E">
            <w:pPr>
              <w:ind w:firstLine="323"/>
              <w:jc w:val="both"/>
              <w:rPr>
                <w:sz w:val="22"/>
              </w:rPr>
            </w:pPr>
            <w:r>
              <w:rPr>
                <w:sz w:val="22"/>
              </w:rPr>
              <w:t xml:space="preserve">2.) </w:t>
            </w:r>
            <w:r w:rsidRPr="00873DB3">
              <w:rPr>
                <w:sz w:val="22"/>
              </w:rPr>
              <w:t xml:space="preserve">Ja iepirkumā piedalījušies </w:t>
            </w:r>
            <w:r w:rsidRPr="00873DB3">
              <w:rPr>
                <w:sz w:val="22"/>
                <w:u w:val="single"/>
              </w:rPr>
              <w:t>arī citi pretendenti</w:t>
            </w:r>
            <w:r w:rsidRPr="00873DB3">
              <w:rPr>
                <w:sz w:val="22"/>
              </w:rPr>
              <w:t xml:space="preserve">, kas nav iesaistīti aizliegtajā vienošanās, piemērojama </w:t>
            </w:r>
            <w:r w:rsidRPr="00873DB3">
              <w:rPr>
                <w:b/>
                <w:sz w:val="22"/>
              </w:rPr>
              <w:t>finanšu korekcija</w:t>
            </w:r>
            <w:r w:rsidRPr="00873DB3">
              <w:rPr>
                <w:sz w:val="22"/>
              </w:rPr>
              <w:t xml:space="preserve"> </w:t>
            </w:r>
            <w:r w:rsidRPr="00873DB3">
              <w:rPr>
                <w:b/>
                <w:sz w:val="22"/>
              </w:rPr>
              <w:t>10% apmērā</w:t>
            </w:r>
            <w:r w:rsidRPr="00873DB3">
              <w:rPr>
                <w:sz w:val="22"/>
              </w:rPr>
              <w:t>.</w:t>
            </w:r>
          </w:p>
          <w:p w14:paraId="0080F51A" w14:textId="77777777" w:rsidR="002F172E" w:rsidRPr="00C22A5F" w:rsidRDefault="002F172E" w:rsidP="002F172E">
            <w:pPr>
              <w:pStyle w:val="ListParagraph"/>
              <w:ind w:left="1418"/>
              <w:jc w:val="both"/>
              <w:rPr>
                <w:sz w:val="10"/>
                <w:szCs w:val="10"/>
              </w:rPr>
            </w:pPr>
          </w:p>
          <w:p w14:paraId="6E47A5FB" w14:textId="77777777" w:rsidR="002F172E" w:rsidRDefault="002F172E" w:rsidP="002F172E">
            <w:pPr>
              <w:jc w:val="both"/>
              <w:rPr>
                <w:sz w:val="22"/>
                <w:szCs w:val="22"/>
              </w:rPr>
            </w:pPr>
            <w:r w:rsidRPr="00920E5F">
              <w:rPr>
                <w:sz w:val="22"/>
              </w:rPr>
              <w:t xml:space="preserve">Ja iepirkumā ir </w:t>
            </w:r>
            <w:r w:rsidRPr="00920E5F">
              <w:rPr>
                <w:sz w:val="22"/>
                <w:u w:val="single"/>
              </w:rPr>
              <w:t>uzvarējis pretendents, kas nav iesaistīts aizliegtajā vienošanās</w:t>
            </w:r>
            <w:r w:rsidRPr="00920E5F">
              <w:rPr>
                <w:sz w:val="22"/>
              </w:rPr>
              <w:t xml:space="preserve">, </w:t>
            </w:r>
            <w:r w:rsidRPr="00920E5F">
              <w:rPr>
                <w:b/>
                <w:sz w:val="22"/>
              </w:rPr>
              <w:t>finanšu korekcija nav jāpiemēro</w:t>
            </w:r>
            <w:r w:rsidRPr="00920E5F">
              <w:rPr>
                <w:sz w:val="22"/>
              </w:rPr>
              <w:t>.</w:t>
            </w:r>
          </w:p>
          <w:p w14:paraId="6369CDFC" w14:textId="5D25BD28" w:rsidR="003D0909" w:rsidRPr="009D07C7" w:rsidRDefault="003D0909" w:rsidP="005B0813">
            <w:pPr>
              <w:jc w:val="both"/>
              <w:rPr>
                <w:sz w:val="22"/>
                <w:szCs w:val="22"/>
              </w:rPr>
            </w:pPr>
          </w:p>
        </w:tc>
      </w:tr>
      <w:tr w:rsidR="0009562C" w:rsidRPr="00E65D59" w14:paraId="67D3B661" w14:textId="77777777" w:rsidTr="00952CF5">
        <w:tc>
          <w:tcPr>
            <w:tcW w:w="276" w:type="pct"/>
          </w:tcPr>
          <w:p w14:paraId="734312F2" w14:textId="77777777" w:rsidR="0009562C" w:rsidRPr="009D07C7" w:rsidRDefault="0009562C" w:rsidP="0009562C">
            <w:pPr>
              <w:numPr>
                <w:ilvl w:val="0"/>
                <w:numId w:val="1"/>
              </w:numPr>
              <w:rPr>
                <w:sz w:val="22"/>
                <w:szCs w:val="22"/>
              </w:rPr>
            </w:pPr>
          </w:p>
        </w:tc>
        <w:tc>
          <w:tcPr>
            <w:tcW w:w="1726" w:type="pct"/>
          </w:tcPr>
          <w:p w14:paraId="6F3AB490" w14:textId="62D8BAC9" w:rsidR="0009562C" w:rsidRPr="00A23C62" w:rsidRDefault="0009562C" w:rsidP="0009562C">
            <w:pPr>
              <w:jc w:val="both"/>
              <w:rPr>
                <w:b/>
                <w:sz w:val="22"/>
                <w:szCs w:val="22"/>
              </w:rPr>
            </w:pPr>
            <w:r>
              <w:rPr>
                <w:b/>
                <w:sz w:val="22"/>
                <w:szCs w:val="22"/>
              </w:rPr>
              <w:t>S</w:t>
            </w:r>
            <w:r w:rsidRPr="00A23C62">
              <w:rPr>
                <w:b/>
                <w:sz w:val="22"/>
                <w:szCs w:val="22"/>
              </w:rPr>
              <w:t>aturiski nekvalitatīv</w:t>
            </w:r>
            <w:r>
              <w:rPr>
                <w:b/>
                <w:sz w:val="22"/>
                <w:szCs w:val="22"/>
              </w:rPr>
              <w:t>s projekta nodevums</w:t>
            </w:r>
          </w:p>
          <w:p w14:paraId="3A2DF2D2" w14:textId="77777777" w:rsidR="0009562C" w:rsidRDefault="0009562C" w:rsidP="0009562C">
            <w:pPr>
              <w:jc w:val="both"/>
              <w:rPr>
                <w:sz w:val="22"/>
                <w:szCs w:val="22"/>
              </w:rPr>
            </w:pPr>
          </w:p>
          <w:p w14:paraId="0FC93B88" w14:textId="77777777" w:rsidR="0009562C" w:rsidRPr="009D07C7" w:rsidRDefault="0009562C" w:rsidP="0009562C">
            <w:pPr>
              <w:jc w:val="both"/>
              <w:rPr>
                <w:sz w:val="22"/>
                <w:szCs w:val="22"/>
              </w:rPr>
            </w:pPr>
          </w:p>
        </w:tc>
        <w:tc>
          <w:tcPr>
            <w:tcW w:w="2086" w:type="pct"/>
            <w:gridSpan w:val="2"/>
          </w:tcPr>
          <w:p w14:paraId="35FD90B2" w14:textId="77777777" w:rsidR="0009562C" w:rsidRDefault="0009562C" w:rsidP="0009562C">
            <w:pPr>
              <w:jc w:val="both"/>
              <w:rPr>
                <w:sz w:val="22"/>
                <w:szCs w:val="22"/>
              </w:rPr>
            </w:pPr>
            <w:r w:rsidRPr="009D07C7">
              <w:rPr>
                <w:sz w:val="22"/>
                <w:szCs w:val="22"/>
              </w:rPr>
              <w:t>Gadījumos, kad līgumā nodevumus ir iespējams finansiāli nodalīt, finanšu korekciju piemēro</w:t>
            </w:r>
            <w:r>
              <w:rPr>
                <w:sz w:val="22"/>
                <w:szCs w:val="22"/>
              </w:rPr>
              <w:t xml:space="preserve"> izdevumiem saistībā</w:t>
            </w:r>
            <w:r w:rsidRPr="009D07C7">
              <w:rPr>
                <w:sz w:val="22"/>
                <w:szCs w:val="22"/>
              </w:rPr>
              <w:t xml:space="preserve"> tikai </w:t>
            </w:r>
            <w:r>
              <w:rPr>
                <w:sz w:val="22"/>
                <w:szCs w:val="22"/>
              </w:rPr>
              <w:t xml:space="preserve">ar </w:t>
            </w:r>
            <w:r w:rsidRPr="009D07C7">
              <w:rPr>
                <w:sz w:val="22"/>
                <w:szCs w:val="22"/>
              </w:rPr>
              <w:t>nekvalitatīv</w:t>
            </w:r>
            <w:r>
              <w:rPr>
                <w:sz w:val="22"/>
                <w:szCs w:val="22"/>
              </w:rPr>
              <w:t>o</w:t>
            </w:r>
            <w:r w:rsidRPr="009D07C7">
              <w:rPr>
                <w:sz w:val="22"/>
                <w:szCs w:val="22"/>
              </w:rPr>
              <w:t xml:space="preserve"> nodevum</w:t>
            </w:r>
            <w:r>
              <w:rPr>
                <w:sz w:val="22"/>
                <w:szCs w:val="22"/>
              </w:rPr>
              <w:t>u</w:t>
            </w:r>
            <w:r w:rsidRPr="009D07C7">
              <w:rPr>
                <w:sz w:val="22"/>
                <w:szCs w:val="22"/>
              </w:rPr>
              <w:t xml:space="preserve"> (katram nodevumam atsevišķa samaksa). </w:t>
            </w:r>
          </w:p>
          <w:p w14:paraId="5BA4D0A8" w14:textId="77777777" w:rsidR="0009562C" w:rsidRDefault="0009562C" w:rsidP="0009562C">
            <w:pPr>
              <w:jc w:val="both"/>
              <w:rPr>
                <w:sz w:val="22"/>
                <w:szCs w:val="22"/>
              </w:rPr>
            </w:pPr>
          </w:p>
          <w:p w14:paraId="5CE5AE9F" w14:textId="77777777" w:rsidR="0009562C" w:rsidRPr="009D07C7" w:rsidRDefault="0009562C" w:rsidP="0009562C">
            <w:pPr>
              <w:jc w:val="both"/>
              <w:rPr>
                <w:sz w:val="22"/>
                <w:szCs w:val="22"/>
              </w:rPr>
            </w:pPr>
            <w:r>
              <w:rPr>
                <w:sz w:val="22"/>
                <w:szCs w:val="22"/>
              </w:rPr>
              <w:t xml:space="preserve">Piemēram, par nekvalitatīvu nodevumu var uzskatīt plaģiātu. Nekvalitatīva nodevuma konstatēšanai nepieciešamības gadījumā var organizēt ekspertu komisiju. </w:t>
            </w:r>
          </w:p>
        </w:tc>
        <w:tc>
          <w:tcPr>
            <w:tcW w:w="912" w:type="pct"/>
          </w:tcPr>
          <w:p w14:paraId="7268F1AF" w14:textId="77777777" w:rsidR="0009562C" w:rsidRDefault="0009562C" w:rsidP="0009562C">
            <w:pPr>
              <w:jc w:val="both"/>
              <w:rPr>
                <w:sz w:val="22"/>
                <w:szCs w:val="22"/>
              </w:rPr>
            </w:pPr>
            <w:r w:rsidRPr="009D07C7">
              <w:rPr>
                <w:sz w:val="22"/>
                <w:szCs w:val="22"/>
              </w:rPr>
              <w:t xml:space="preserve">100% </w:t>
            </w:r>
            <w:r>
              <w:rPr>
                <w:sz w:val="22"/>
                <w:szCs w:val="22"/>
              </w:rPr>
              <w:t xml:space="preserve">finanšu </w:t>
            </w:r>
            <w:r w:rsidRPr="009D07C7">
              <w:rPr>
                <w:sz w:val="22"/>
                <w:szCs w:val="22"/>
              </w:rPr>
              <w:t>korekcija, ja tiek pieņemts lēmums, ka nodevums nav atbilstošas kvalitātes.</w:t>
            </w:r>
            <w:r w:rsidRPr="00E65D59">
              <w:rPr>
                <w:sz w:val="22"/>
                <w:szCs w:val="22"/>
              </w:rPr>
              <w:t xml:space="preserve"> </w:t>
            </w:r>
          </w:p>
          <w:p w14:paraId="3F0CC44E" w14:textId="77777777" w:rsidR="0009562C" w:rsidRPr="00E65D59" w:rsidRDefault="0009562C" w:rsidP="0009562C">
            <w:pPr>
              <w:jc w:val="both"/>
              <w:rPr>
                <w:sz w:val="22"/>
                <w:szCs w:val="22"/>
              </w:rPr>
            </w:pPr>
            <w:r w:rsidRPr="00C8474D">
              <w:rPr>
                <w:sz w:val="22"/>
                <w:szCs w:val="22"/>
              </w:rPr>
              <w:t xml:space="preserve">Var samazināt uz </w:t>
            </w:r>
            <w:r>
              <w:rPr>
                <w:sz w:val="22"/>
                <w:szCs w:val="22"/>
              </w:rPr>
              <w:t xml:space="preserve">25%, </w:t>
            </w:r>
            <w:r w:rsidRPr="00C8474D">
              <w:rPr>
                <w:sz w:val="22"/>
                <w:szCs w:val="22"/>
              </w:rPr>
              <w:t xml:space="preserve">10% vai 5%, atkarībā no </w:t>
            </w:r>
            <w:r>
              <w:rPr>
                <w:sz w:val="22"/>
                <w:szCs w:val="22"/>
              </w:rPr>
              <w:t>kvalitātes trūkuma pakāpes un ietekmes uz projekta rezultātu, mērķu sasniegšanu.</w:t>
            </w:r>
          </w:p>
        </w:tc>
      </w:tr>
    </w:tbl>
    <w:p w14:paraId="1EC61BC1" w14:textId="19EA8050" w:rsidR="007D1EBA" w:rsidRDefault="007D1EB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5026"/>
        <w:gridCol w:w="6063"/>
        <w:gridCol w:w="12"/>
        <w:gridCol w:w="2656"/>
      </w:tblGrid>
      <w:tr w:rsidR="007D1EBA" w:rsidRPr="009D07C7" w14:paraId="16ADD921" w14:textId="77777777" w:rsidTr="002A6D87">
        <w:trPr>
          <w:tblHeader/>
        </w:trPr>
        <w:tc>
          <w:tcPr>
            <w:tcW w:w="276" w:type="pct"/>
            <w:tcBorders>
              <w:bottom w:val="single" w:sz="4" w:space="0" w:color="auto"/>
            </w:tcBorders>
            <w:shd w:val="clear" w:color="auto" w:fill="D6E3BC"/>
            <w:vAlign w:val="center"/>
          </w:tcPr>
          <w:p w14:paraId="537ADA1C" w14:textId="77777777" w:rsidR="007D1EBA" w:rsidRPr="009D07C7" w:rsidRDefault="007D1EBA" w:rsidP="00952CF5">
            <w:pPr>
              <w:jc w:val="center"/>
              <w:rPr>
                <w:b/>
                <w:sz w:val="22"/>
                <w:szCs w:val="22"/>
              </w:rPr>
            </w:pPr>
            <w:r w:rsidRPr="009D07C7">
              <w:rPr>
                <w:b/>
                <w:sz w:val="22"/>
                <w:szCs w:val="22"/>
              </w:rPr>
              <w:t>Nr.</w:t>
            </w:r>
          </w:p>
        </w:tc>
        <w:tc>
          <w:tcPr>
            <w:tcW w:w="1726" w:type="pct"/>
            <w:tcBorders>
              <w:bottom w:val="single" w:sz="4" w:space="0" w:color="auto"/>
            </w:tcBorders>
            <w:shd w:val="clear" w:color="auto" w:fill="D6E3BC"/>
            <w:vAlign w:val="center"/>
          </w:tcPr>
          <w:p w14:paraId="2B0E5577" w14:textId="77777777" w:rsidR="007D1EBA" w:rsidRPr="009D07C7" w:rsidRDefault="007D1EBA" w:rsidP="00952CF5">
            <w:pPr>
              <w:jc w:val="center"/>
              <w:rPr>
                <w:b/>
                <w:sz w:val="22"/>
                <w:szCs w:val="22"/>
              </w:rPr>
            </w:pPr>
            <w:r>
              <w:rPr>
                <w:b/>
                <w:sz w:val="22"/>
                <w:szCs w:val="22"/>
              </w:rPr>
              <w:t>Neatbilstība / Pārkāpums</w:t>
            </w:r>
          </w:p>
        </w:tc>
        <w:tc>
          <w:tcPr>
            <w:tcW w:w="2082" w:type="pct"/>
            <w:tcBorders>
              <w:bottom w:val="single" w:sz="4" w:space="0" w:color="auto"/>
            </w:tcBorders>
            <w:shd w:val="clear" w:color="auto" w:fill="D6E3BC"/>
            <w:vAlign w:val="center"/>
          </w:tcPr>
          <w:p w14:paraId="5FF18248" w14:textId="77777777" w:rsidR="007D1EBA" w:rsidRPr="009D07C7" w:rsidRDefault="007D1EBA" w:rsidP="00952CF5">
            <w:pPr>
              <w:jc w:val="center"/>
              <w:rPr>
                <w:b/>
                <w:sz w:val="22"/>
                <w:szCs w:val="22"/>
              </w:rPr>
            </w:pPr>
            <w:r>
              <w:rPr>
                <w:b/>
                <w:sz w:val="22"/>
                <w:szCs w:val="22"/>
              </w:rPr>
              <w:t>Neatbilstības apraksts</w:t>
            </w:r>
          </w:p>
        </w:tc>
        <w:tc>
          <w:tcPr>
            <w:tcW w:w="916" w:type="pct"/>
            <w:gridSpan w:val="2"/>
            <w:tcBorders>
              <w:bottom w:val="single" w:sz="4" w:space="0" w:color="auto"/>
            </w:tcBorders>
            <w:shd w:val="clear" w:color="auto" w:fill="D6E3BC"/>
            <w:vAlign w:val="center"/>
          </w:tcPr>
          <w:p w14:paraId="4F1FEC02" w14:textId="77777777" w:rsidR="007D1EBA" w:rsidRPr="009D07C7" w:rsidRDefault="007D1EBA" w:rsidP="00952CF5">
            <w:pPr>
              <w:jc w:val="center"/>
              <w:rPr>
                <w:b/>
                <w:sz w:val="22"/>
                <w:szCs w:val="22"/>
              </w:rPr>
            </w:pPr>
            <w:r w:rsidRPr="009D07C7">
              <w:rPr>
                <w:b/>
                <w:sz w:val="22"/>
                <w:szCs w:val="22"/>
              </w:rPr>
              <w:t>Finanšu korekcijas apjoms</w:t>
            </w:r>
          </w:p>
        </w:tc>
      </w:tr>
      <w:tr w:rsidR="00DD563F" w:rsidRPr="009D07C7" w14:paraId="77FE8670" w14:textId="77777777" w:rsidTr="002A6D87">
        <w:trPr>
          <w:trHeight w:val="77"/>
        </w:trPr>
        <w:tc>
          <w:tcPr>
            <w:tcW w:w="5000" w:type="pct"/>
            <w:gridSpan w:val="5"/>
            <w:tcBorders>
              <w:bottom w:val="single" w:sz="4" w:space="0" w:color="auto"/>
            </w:tcBorders>
            <w:shd w:val="clear" w:color="auto" w:fill="C0C0C0"/>
          </w:tcPr>
          <w:p w14:paraId="6533317D" w14:textId="1FA88369" w:rsidR="00DD563F" w:rsidRPr="009D07C7" w:rsidRDefault="00701A90" w:rsidP="00E65D59">
            <w:pPr>
              <w:jc w:val="center"/>
              <w:rPr>
                <w:b/>
                <w:sz w:val="22"/>
                <w:szCs w:val="22"/>
              </w:rPr>
            </w:pPr>
            <w:r>
              <w:rPr>
                <w:b/>
                <w:sz w:val="22"/>
                <w:szCs w:val="22"/>
              </w:rPr>
              <w:t>Iepirkumu līguma līmenis</w:t>
            </w:r>
            <w:r w:rsidR="001740D3">
              <w:rPr>
                <w:rStyle w:val="FootnoteReference"/>
                <w:b/>
                <w:sz w:val="22"/>
                <w:szCs w:val="22"/>
              </w:rPr>
              <w:footnoteReference w:id="11"/>
            </w:r>
          </w:p>
        </w:tc>
      </w:tr>
      <w:tr w:rsidR="002679E5" w:rsidRPr="009D07C7" w14:paraId="77B2BA63" w14:textId="77777777" w:rsidTr="002A6D87">
        <w:tc>
          <w:tcPr>
            <w:tcW w:w="5000" w:type="pct"/>
            <w:gridSpan w:val="5"/>
            <w:tcBorders>
              <w:bottom w:val="single" w:sz="4" w:space="0" w:color="auto"/>
            </w:tcBorders>
            <w:shd w:val="clear" w:color="auto" w:fill="D9D9D9"/>
          </w:tcPr>
          <w:p w14:paraId="7A786474" w14:textId="588418E2" w:rsidR="002679E5" w:rsidRPr="00E569DC" w:rsidRDefault="00BC67E8" w:rsidP="00E65D59">
            <w:pPr>
              <w:rPr>
                <w:sz w:val="22"/>
                <w:szCs w:val="22"/>
                <w:highlight w:val="yellow"/>
              </w:rPr>
            </w:pPr>
            <w:r>
              <w:rPr>
                <w:b/>
                <w:sz w:val="22"/>
                <w:szCs w:val="22"/>
              </w:rPr>
              <w:t xml:space="preserve">Līguma paziņojums </w:t>
            </w:r>
            <w:r w:rsidR="002679E5" w:rsidRPr="00D34969">
              <w:rPr>
                <w:b/>
                <w:sz w:val="22"/>
                <w:szCs w:val="22"/>
              </w:rPr>
              <w:t>un tehniskā specifikācija</w:t>
            </w:r>
          </w:p>
        </w:tc>
      </w:tr>
      <w:tr w:rsidR="00701A90" w:rsidRPr="009D07C7" w14:paraId="64F34F35" w14:textId="77777777" w:rsidTr="008D339D">
        <w:trPr>
          <w:trHeight w:val="332"/>
        </w:trPr>
        <w:tc>
          <w:tcPr>
            <w:tcW w:w="276" w:type="pct"/>
            <w:tcBorders>
              <w:bottom w:val="single" w:sz="4" w:space="0" w:color="auto"/>
              <w:right w:val="single" w:sz="4" w:space="0" w:color="auto"/>
            </w:tcBorders>
          </w:tcPr>
          <w:p w14:paraId="1EA558BC" w14:textId="77777777" w:rsidR="00701A90" w:rsidRPr="009D07C7" w:rsidRDefault="00701A90" w:rsidP="002679E5">
            <w:pPr>
              <w:numPr>
                <w:ilvl w:val="0"/>
                <w:numId w:val="1"/>
              </w:numPr>
              <w:rPr>
                <w:sz w:val="22"/>
                <w:szCs w:val="22"/>
              </w:rPr>
            </w:pPr>
          </w:p>
        </w:tc>
        <w:tc>
          <w:tcPr>
            <w:tcW w:w="1726" w:type="pct"/>
            <w:tcBorders>
              <w:top w:val="single" w:sz="4" w:space="0" w:color="auto"/>
              <w:left w:val="single" w:sz="4" w:space="0" w:color="auto"/>
              <w:bottom w:val="single" w:sz="4" w:space="0" w:color="auto"/>
              <w:right w:val="single" w:sz="4" w:space="0" w:color="auto"/>
            </w:tcBorders>
          </w:tcPr>
          <w:p w14:paraId="4849E602" w14:textId="66827C4C" w:rsidR="00701A90" w:rsidRPr="00245153" w:rsidRDefault="00BC67E8" w:rsidP="000A6D4F">
            <w:pPr>
              <w:rPr>
                <w:sz w:val="22"/>
                <w:szCs w:val="22"/>
              </w:rPr>
            </w:pPr>
            <w:r>
              <w:rPr>
                <w:sz w:val="22"/>
                <w:szCs w:val="22"/>
              </w:rPr>
              <w:t>L</w:t>
            </w:r>
            <w:r w:rsidR="00701A90">
              <w:rPr>
                <w:sz w:val="22"/>
                <w:szCs w:val="22"/>
              </w:rPr>
              <w:t>īgum</w:t>
            </w:r>
            <w:r>
              <w:rPr>
                <w:sz w:val="22"/>
                <w:szCs w:val="22"/>
              </w:rPr>
              <w:t>a</w:t>
            </w:r>
            <w:r w:rsidR="00701A90">
              <w:rPr>
                <w:sz w:val="22"/>
                <w:szCs w:val="22"/>
              </w:rPr>
              <w:t xml:space="preserve"> </w:t>
            </w:r>
            <w:r>
              <w:rPr>
                <w:sz w:val="22"/>
                <w:szCs w:val="22"/>
              </w:rPr>
              <w:t xml:space="preserve">paziņojuma </w:t>
            </w:r>
            <w:r w:rsidR="00701A90">
              <w:rPr>
                <w:sz w:val="22"/>
                <w:szCs w:val="22"/>
              </w:rPr>
              <w:t>nepublicēšana</w:t>
            </w:r>
          </w:p>
          <w:p w14:paraId="5609C007" w14:textId="77777777" w:rsidR="00701A90" w:rsidRPr="00245153" w:rsidRDefault="00701A90" w:rsidP="000A6D4F">
            <w:pPr>
              <w:rPr>
                <w:sz w:val="22"/>
                <w:szCs w:val="22"/>
              </w:rPr>
            </w:pPr>
          </w:p>
          <w:p w14:paraId="4F18BC8F" w14:textId="5B18D8D5" w:rsidR="00701A90" w:rsidRDefault="00701A90" w:rsidP="000A6D4F">
            <w:pPr>
              <w:jc w:val="both"/>
              <w:rPr>
                <w:i/>
                <w:sz w:val="22"/>
                <w:szCs w:val="22"/>
              </w:rPr>
            </w:pPr>
            <w:r w:rsidRPr="00225303">
              <w:rPr>
                <w:i/>
                <w:sz w:val="22"/>
                <w:szCs w:val="22"/>
              </w:rPr>
              <w:t>Direktīvas Nr.</w:t>
            </w:r>
            <w:r w:rsidR="00D36776">
              <w:rPr>
                <w:i/>
                <w:sz w:val="22"/>
                <w:szCs w:val="22"/>
              </w:rPr>
              <w:t>2014/24/E</w:t>
            </w:r>
            <w:r w:rsidR="00604091">
              <w:rPr>
                <w:i/>
                <w:sz w:val="22"/>
                <w:szCs w:val="22"/>
              </w:rPr>
              <w:t>S</w:t>
            </w:r>
            <w:r w:rsidR="00D36776">
              <w:rPr>
                <w:i/>
                <w:sz w:val="22"/>
                <w:szCs w:val="22"/>
              </w:rPr>
              <w:t xml:space="preserve"> 26(5).pant</w:t>
            </w:r>
            <w:r w:rsidR="00863AB9">
              <w:rPr>
                <w:i/>
                <w:sz w:val="22"/>
                <w:szCs w:val="22"/>
              </w:rPr>
              <w:t>a pirmā daļa</w:t>
            </w:r>
            <w:r w:rsidR="00D36776">
              <w:rPr>
                <w:i/>
                <w:sz w:val="22"/>
                <w:szCs w:val="22"/>
              </w:rPr>
              <w:t>, 48(1).pants, 49.pants, 50(1).-50(4).pants</w:t>
            </w:r>
          </w:p>
          <w:p w14:paraId="2EA7C789" w14:textId="77777777" w:rsidR="008A18C4" w:rsidRDefault="00B201B8" w:rsidP="008A18C4">
            <w:pPr>
              <w:jc w:val="both"/>
              <w:rPr>
                <w:i/>
                <w:sz w:val="22"/>
                <w:szCs w:val="22"/>
              </w:rPr>
            </w:pPr>
            <w:r w:rsidRPr="008A18C4">
              <w:rPr>
                <w:i/>
                <w:sz w:val="22"/>
                <w:szCs w:val="22"/>
              </w:rPr>
              <w:t>Direktīva</w:t>
            </w:r>
            <w:r>
              <w:rPr>
                <w:i/>
                <w:sz w:val="22"/>
                <w:szCs w:val="22"/>
              </w:rPr>
              <w:t>s Nr.</w:t>
            </w:r>
            <w:r w:rsidR="008A18C4" w:rsidRPr="008A18C4">
              <w:rPr>
                <w:i/>
                <w:sz w:val="22"/>
                <w:szCs w:val="22"/>
              </w:rPr>
              <w:t>2014/25/ES</w:t>
            </w:r>
            <w:r w:rsidR="008A18C4">
              <w:rPr>
                <w:i/>
                <w:sz w:val="22"/>
                <w:szCs w:val="22"/>
              </w:rPr>
              <w:t xml:space="preserve"> 44(4).pants, 67(2).pants un 69.pants</w:t>
            </w:r>
          </w:p>
          <w:p w14:paraId="759EAEEE" w14:textId="77777777" w:rsidR="00701A90" w:rsidRDefault="00701A90" w:rsidP="000A6D4F">
            <w:pPr>
              <w:rPr>
                <w:i/>
                <w:sz w:val="22"/>
                <w:szCs w:val="22"/>
              </w:rPr>
            </w:pPr>
            <w:r w:rsidRPr="00CD0506">
              <w:rPr>
                <w:i/>
                <w:sz w:val="22"/>
                <w:szCs w:val="22"/>
              </w:rPr>
              <w:t>Komisijas skaidrojošā  dokumenta n ° 2006 / C 179/02</w:t>
            </w:r>
            <w:r w:rsidRPr="00CD0506">
              <w:rPr>
                <w:rStyle w:val="FootnoteReference"/>
                <w:i/>
                <w:sz w:val="22"/>
                <w:szCs w:val="22"/>
              </w:rPr>
              <w:footnoteReference w:id="12"/>
            </w:r>
            <w:r w:rsidRPr="00CD0506">
              <w:rPr>
                <w:i/>
                <w:sz w:val="22"/>
                <w:szCs w:val="22"/>
              </w:rPr>
              <w:t xml:space="preserve"> 2.1 nodaļa</w:t>
            </w:r>
          </w:p>
          <w:p w14:paraId="63A9CA55" w14:textId="77777777" w:rsidR="00A2172D" w:rsidRDefault="00A2172D" w:rsidP="000A6D4F">
            <w:pPr>
              <w:rPr>
                <w:i/>
                <w:sz w:val="22"/>
                <w:szCs w:val="22"/>
              </w:rPr>
            </w:pPr>
          </w:p>
          <w:p w14:paraId="03C4120C" w14:textId="77777777" w:rsidR="00A2172D" w:rsidRDefault="00A2172D" w:rsidP="000A6D4F">
            <w:pPr>
              <w:rPr>
                <w:i/>
                <w:sz w:val="22"/>
                <w:szCs w:val="22"/>
              </w:rPr>
            </w:pPr>
          </w:p>
          <w:p w14:paraId="13F510CE" w14:textId="77777777" w:rsidR="00A2172D" w:rsidRPr="00CD0506" w:rsidRDefault="00A2172D" w:rsidP="000A6D4F">
            <w:pPr>
              <w:rPr>
                <w:i/>
                <w:sz w:val="22"/>
                <w:szCs w:val="22"/>
              </w:rPr>
            </w:pPr>
            <w:r>
              <w:rPr>
                <w:i/>
                <w:sz w:val="22"/>
                <w:szCs w:val="22"/>
              </w:rPr>
              <w:t>(EK 19.12.2013. vadlīniju</w:t>
            </w:r>
            <w:r>
              <w:rPr>
                <w:rStyle w:val="FootnoteReference"/>
                <w:i/>
                <w:sz w:val="22"/>
                <w:szCs w:val="22"/>
              </w:rPr>
              <w:footnoteReference w:id="13"/>
            </w:r>
            <w:r>
              <w:rPr>
                <w:i/>
                <w:sz w:val="22"/>
                <w:szCs w:val="22"/>
              </w:rPr>
              <w:t xml:space="preserve"> 2.1.sadaļas 1.punkts)</w:t>
            </w:r>
          </w:p>
        </w:tc>
        <w:tc>
          <w:tcPr>
            <w:tcW w:w="2086" w:type="pct"/>
            <w:gridSpan w:val="2"/>
            <w:tcBorders>
              <w:top w:val="single" w:sz="4" w:space="0" w:color="auto"/>
              <w:left w:val="single" w:sz="4" w:space="0" w:color="auto"/>
              <w:bottom w:val="single" w:sz="4" w:space="0" w:color="auto"/>
              <w:right w:val="single" w:sz="4" w:space="0" w:color="auto"/>
            </w:tcBorders>
          </w:tcPr>
          <w:p w14:paraId="3B927C63" w14:textId="764A9023" w:rsidR="00701A90" w:rsidRDefault="00701A90" w:rsidP="00701A90">
            <w:pPr>
              <w:jc w:val="both"/>
              <w:rPr>
                <w:sz w:val="22"/>
                <w:szCs w:val="22"/>
              </w:rPr>
            </w:pPr>
            <w:r w:rsidRPr="00245153">
              <w:rPr>
                <w:sz w:val="22"/>
                <w:szCs w:val="22"/>
              </w:rPr>
              <w:t xml:space="preserve">Līguma slēgšanas tiesības tika piešķirtas, </w:t>
            </w:r>
            <w:r w:rsidR="00F5211C">
              <w:rPr>
                <w:sz w:val="22"/>
                <w:szCs w:val="22"/>
              </w:rPr>
              <w:t xml:space="preserve">ievērojot iepirkuma </w:t>
            </w:r>
            <w:r w:rsidR="00B2389D">
              <w:rPr>
                <w:sz w:val="22"/>
                <w:szCs w:val="22"/>
              </w:rPr>
              <w:t>procedūras veikšanas kārtību</w:t>
            </w:r>
            <w:r w:rsidR="00F5211C">
              <w:rPr>
                <w:sz w:val="22"/>
                <w:szCs w:val="22"/>
              </w:rPr>
              <w:t xml:space="preserve">, </w:t>
            </w:r>
            <w:r w:rsidR="00B2389D">
              <w:rPr>
                <w:sz w:val="22"/>
                <w:szCs w:val="22"/>
              </w:rPr>
              <w:t xml:space="preserve">bet </w:t>
            </w:r>
            <w:r w:rsidRPr="00245153">
              <w:rPr>
                <w:sz w:val="22"/>
                <w:szCs w:val="22"/>
              </w:rPr>
              <w:t xml:space="preserve">nenodrošinot </w:t>
            </w:r>
            <w:r>
              <w:rPr>
                <w:sz w:val="22"/>
                <w:szCs w:val="22"/>
              </w:rPr>
              <w:t xml:space="preserve">publikāciju </w:t>
            </w:r>
            <w:r w:rsidR="00846E56">
              <w:rPr>
                <w:sz w:val="22"/>
                <w:szCs w:val="22"/>
              </w:rPr>
              <w:t xml:space="preserve">ne </w:t>
            </w:r>
            <w:r>
              <w:rPr>
                <w:sz w:val="22"/>
                <w:szCs w:val="22"/>
              </w:rPr>
              <w:t xml:space="preserve">ES Oficiālajā </w:t>
            </w:r>
            <w:r w:rsidR="002505C7" w:rsidRPr="002505C7">
              <w:rPr>
                <w:sz w:val="22"/>
                <w:szCs w:val="22"/>
              </w:rPr>
              <w:t>Vēstnesī</w:t>
            </w:r>
            <w:r w:rsidR="00846E56">
              <w:rPr>
                <w:sz w:val="22"/>
                <w:szCs w:val="22"/>
              </w:rPr>
              <w:t>, ne</w:t>
            </w:r>
            <w:r w:rsidR="00B2389D">
              <w:rPr>
                <w:sz w:val="22"/>
                <w:szCs w:val="22"/>
              </w:rPr>
              <w:t xml:space="preserve"> </w:t>
            </w:r>
            <w:r w:rsidR="001D1576">
              <w:rPr>
                <w:sz w:val="22"/>
                <w:szCs w:val="22"/>
              </w:rPr>
              <w:t xml:space="preserve">IUB tīmekļa vietnē </w:t>
            </w:r>
            <w:r w:rsidR="00B2389D">
              <w:rPr>
                <w:sz w:val="22"/>
                <w:szCs w:val="22"/>
              </w:rPr>
              <w:t>saskaņā ar nacionālo normatīvo aktu prasībām</w:t>
            </w:r>
            <w:r>
              <w:rPr>
                <w:sz w:val="22"/>
                <w:szCs w:val="22"/>
              </w:rPr>
              <w:t xml:space="preserve">. </w:t>
            </w:r>
          </w:p>
          <w:p w14:paraId="7DBABBBA" w14:textId="77777777" w:rsidR="00701A90" w:rsidRDefault="00701A90" w:rsidP="00701A90">
            <w:pPr>
              <w:jc w:val="both"/>
              <w:rPr>
                <w:sz w:val="22"/>
                <w:szCs w:val="22"/>
              </w:rPr>
            </w:pPr>
          </w:p>
          <w:p w14:paraId="7FBFF644" w14:textId="39B3E54B" w:rsidR="00DA701D" w:rsidRPr="00D34969" w:rsidRDefault="00FF3BE8" w:rsidP="004C5D3D">
            <w:pPr>
              <w:jc w:val="both"/>
              <w:rPr>
                <w:sz w:val="22"/>
                <w:szCs w:val="22"/>
              </w:rPr>
            </w:pPr>
            <w:r>
              <w:rPr>
                <w:sz w:val="22"/>
                <w:szCs w:val="22"/>
              </w:rPr>
              <w:t>J</w:t>
            </w:r>
            <w:r w:rsidRPr="00A71C6A">
              <w:rPr>
                <w:sz w:val="22"/>
                <w:szCs w:val="22"/>
              </w:rPr>
              <w:t>a l</w:t>
            </w:r>
            <w:r w:rsidRPr="00A71C6A">
              <w:rPr>
                <w:rFonts w:hint="eastAsia"/>
                <w:sz w:val="22"/>
                <w:szCs w:val="22"/>
              </w:rPr>
              <w:t>ī</w:t>
            </w:r>
            <w:r w:rsidRPr="00A71C6A">
              <w:rPr>
                <w:sz w:val="22"/>
                <w:szCs w:val="22"/>
              </w:rPr>
              <w:t>guma pazi</w:t>
            </w:r>
            <w:r w:rsidRPr="00A71C6A">
              <w:rPr>
                <w:rFonts w:hint="eastAsia"/>
                <w:sz w:val="22"/>
                <w:szCs w:val="22"/>
              </w:rPr>
              <w:t>ņ</w:t>
            </w:r>
            <w:r w:rsidRPr="00A71C6A">
              <w:rPr>
                <w:sz w:val="22"/>
                <w:szCs w:val="22"/>
              </w:rPr>
              <w:t>ojuma</w:t>
            </w:r>
            <w:r>
              <w:rPr>
                <w:sz w:val="22"/>
                <w:szCs w:val="22"/>
              </w:rPr>
              <w:t xml:space="preserve"> </w:t>
            </w:r>
            <w:r w:rsidRPr="00A71C6A">
              <w:rPr>
                <w:sz w:val="22"/>
                <w:szCs w:val="22"/>
              </w:rPr>
              <w:t>publik</w:t>
            </w:r>
            <w:r w:rsidRPr="00A71C6A">
              <w:rPr>
                <w:rFonts w:hint="eastAsia"/>
                <w:sz w:val="22"/>
                <w:szCs w:val="22"/>
              </w:rPr>
              <w:t>ā</w:t>
            </w:r>
            <w:r w:rsidRPr="00A71C6A">
              <w:rPr>
                <w:sz w:val="22"/>
                <w:szCs w:val="22"/>
              </w:rPr>
              <w:t>cija ir nepiecie</w:t>
            </w:r>
            <w:r w:rsidRPr="00A71C6A">
              <w:rPr>
                <w:rFonts w:hint="eastAsia"/>
                <w:sz w:val="22"/>
                <w:szCs w:val="22"/>
              </w:rPr>
              <w:t>š</w:t>
            </w:r>
            <w:r w:rsidRPr="00A71C6A">
              <w:rPr>
                <w:sz w:val="22"/>
                <w:szCs w:val="22"/>
              </w:rPr>
              <w:t xml:space="preserve">ama </w:t>
            </w:r>
            <w:r w:rsidRPr="00BD74C6">
              <w:rPr>
                <w:sz w:val="22"/>
                <w:szCs w:val="22"/>
              </w:rPr>
              <w:t xml:space="preserve">ES </w:t>
            </w:r>
            <w:r>
              <w:rPr>
                <w:sz w:val="22"/>
                <w:szCs w:val="22"/>
              </w:rPr>
              <w:t>O</w:t>
            </w:r>
            <w:r w:rsidRPr="00BD74C6">
              <w:rPr>
                <w:sz w:val="22"/>
                <w:szCs w:val="22"/>
              </w:rPr>
              <w:t>ficiālajā Vēstnesī</w:t>
            </w:r>
            <w:r>
              <w:rPr>
                <w:sz w:val="22"/>
                <w:szCs w:val="22"/>
              </w:rPr>
              <w:t xml:space="preserve">, bet </w:t>
            </w:r>
            <w:r w:rsidRPr="00A71C6A">
              <w:rPr>
                <w:sz w:val="22"/>
                <w:szCs w:val="22"/>
              </w:rPr>
              <w:t>l</w:t>
            </w:r>
            <w:r w:rsidRPr="00A71C6A">
              <w:rPr>
                <w:rFonts w:hint="eastAsia"/>
                <w:sz w:val="22"/>
                <w:szCs w:val="22"/>
              </w:rPr>
              <w:t>ī</w:t>
            </w:r>
            <w:r w:rsidRPr="00A71C6A">
              <w:rPr>
                <w:sz w:val="22"/>
                <w:szCs w:val="22"/>
              </w:rPr>
              <w:t>guma pazi</w:t>
            </w:r>
            <w:r w:rsidRPr="00A71C6A">
              <w:rPr>
                <w:rFonts w:hint="eastAsia"/>
                <w:sz w:val="22"/>
                <w:szCs w:val="22"/>
              </w:rPr>
              <w:t>ņ</w:t>
            </w:r>
            <w:r w:rsidRPr="00A71C6A">
              <w:rPr>
                <w:sz w:val="22"/>
                <w:szCs w:val="22"/>
              </w:rPr>
              <w:t>ojums</w:t>
            </w:r>
            <w:r>
              <w:rPr>
                <w:sz w:val="22"/>
                <w:szCs w:val="22"/>
              </w:rPr>
              <w:t xml:space="preserve"> </w:t>
            </w:r>
            <w:r w:rsidRPr="00A71C6A">
              <w:rPr>
                <w:sz w:val="22"/>
                <w:szCs w:val="22"/>
              </w:rPr>
              <w:t xml:space="preserve">netika </w:t>
            </w:r>
            <w:r>
              <w:rPr>
                <w:sz w:val="22"/>
                <w:szCs w:val="22"/>
              </w:rPr>
              <w:t xml:space="preserve">tur </w:t>
            </w:r>
            <w:r w:rsidRPr="00A71C6A">
              <w:rPr>
                <w:sz w:val="22"/>
                <w:szCs w:val="22"/>
              </w:rPr>
              <w:t>public</w:t>
            </w:r>
            <w:r w:rsidRPr="00A71C6A">
              <w:rPr>
                <w:rFonts w:hint="eastAsia"/>
                <w:sz w:val="22"/>
                <w:szCs w:val="22"/>
              </w:rPr>
              <w:t>ē</w:t>
            </w:r>
            <w:r>
              <w:rPr>
                <w:sz w:val="22"/>
                <w:szCs w:val="22"/>
              </w:rPr>
              <w:t>ts</w:t>
            </w:r>
            <w:r w:rsidRPr="00A71C6A">
              <w:rPr>
                <w:sz w:val="22"/>
                <w:szCs w:val="22"/>
              </w:rPr>
              <w:t xml:space="preserve">, </w:t>
            </w:r>
            <w:r>
              <w:rPr>
                <w:sz w:val="22"/>
                <w:szCs w:val="22"/>
              </w:rPr>
              <w:t xml:space="preserve">samazinātu finanšu korekcijas apjomu var piemērot, ja </w:t>
            </w:r>
            <w:r w:rsidRPr="00A71C6A">
              <w:rPr>
                <w:sz w:val="22"/>
                <w:szCs w:val="22"/>
              </w:rPr>
              <w:t>cit</w:t>
            </w:r>
            <w:r w:rsidRPr="00A71C6A">
              <w:rPr>
                <w:rFonts w:hint="eastAsia"/>
                <w:sz w:val="22"/>
                <w:szCs w:val="22"/>
              </w:rPr>
              <w:t>ā</w:t>
            </w:r>
            <w:r w:rsidRPr="00A71C6A">
              <w:rPr>
                <w:sz w:val="22"/>
                <w:szCs w:val="22"/>
              </w:rPr>
              <w:t xml:space="preserve"> dal</w:t>
            </w:r>
            <w:r w:rsidRPr="00A71C6A">
              <w:rPr>
                <w:rFonts w:hint="eastAsia"/>
                <w:sz w:val="22"/>
                <w:szCs w:val="22"/>
              </w:rPr>
              <w:t>ī</w:t>
            </w:r>
            <w:r w:rsidRPr="00A71C6A">
              <w:rPr>
                <w:sz w:val="22"/>
                <w:szCs w:val="22"/>
              </w:rPr>
              <w:t>bvalst</w:t>
            </w:r>
            <w:r w:rsidRPr="00A71C6A">
              <w:rPr>
                <w:rFonts w:hint="eastAsia"/>
                <w:sz w:val="22"/>
                <w:szCs w:val="22"/>
              </w:rPr>
              <w:t>ī</w:t>
            </w:r>
            <w:r w:rsidRPr="00A71C6A">
              <w:rPr>
                <w:sz w:val="22"/>
                <w:szCs w:val="22"/>
              </w:rPr>
              <w:t xml:space="preserve"> </w:t>
            </w:r>
            <w:r w:rsidR="004C5D3D" w:rsidRPr="00DA7541">
              <w:rPr>
                <w:sz w:val="22"/>
                <w:szCs w:val="22"/>
              </w:rPr>
              <w:t>re</w:t>
            </w:r>
            <w:r w:rsidR="004C5D3D" w:rsidRPr="00DA7541">
              <w:rPr>
                <w:rFonts w:hint="eastAsia"/>
                <w:sz w:val="22"/>
                <w:szCs w:val="22"/>
              </w:rPr>
              <w:t>ģ</w:t>
            </w:r>
            <w:r w:rsidR="004C5D3D" w:rsidRPr="00DA7541">
              <w:rPr>
                <w:sz w:val="22"/>
                <w:szCs w:val="22"/>
              </w:rPr>
              <w:t>istr</w:t>
            </w:r>
            <w:r w:rsidR="004C5D3D" w:rsidRPr="00DA7541">
              <w:rPr>
                <w:rFonts w:hint="eastAsia"/>
                <w:sz w:val="22"/>
                <w:szCs w:val="22"/>
              </w:rPr>
              <w:t>ē</w:t>
            </w:r>
            <w:r w:rsidR="004C5D3D" w:rsidRPr="00DA7541">
              <w:rPr>
                <w:sz w:val="22"/>
                <w:szCs w:val="22"/>
              </w:rPr>
              <w:t>tiem uzņēmumiem</w:t>
            </w:r>
            <w:r w:rsidRPr="007423DD">
              <w:rPr>
                <w:sz w:val="22"/>
                <w:szCs w:val="22"/>
              </w:rPr>
              <w:t xml:space="preserve"> </w:t>
            </w:r>
            <w:r w:rsidRPr="00A71C6A">
              <w:rPr>
                <w:sz w:val="22"/>
                <w:szCs w:val="22"/>
              </w:rPr>
              <w:t>ir pieejama atbilsto</w:t>
            </w:r>
            <w:r w:rsidRPr="00A71C6A">
              <w:rPr>
                <w:rFonts w:hint="eastAsia"/>
                <w:sz w:val="22"/>
                <w:szCs w:val="22"/>
              </w:rPr>
              <w:t>š</w:t>
            </w:r>
            <w:r w:rsidRPr="00A71C6A">
              <w:rPr>
                <w:sz w:val="22"/>
                <w:szCs w:val="22"/>
              </w:rPr>
              <w:t>a</w:t>
            </w:r>
            <w:r>
              <w:rPr>
                <w:sz w:val="22"/>
                <w:szCs w:val="22"/>
              </w:rPr>
              <w:t xml:space="preserve"> </w:t>
            </w:r>
            <w:r w:rsidRPr="00A71C6A">
              <w:rPr>
                <w:sz w:val="22"/>
                <w:szCs w:val="22"/>
              </w:rPr>
              <w:t>inform</w:t>
            </w:r>
            <w:r w:rsidRPr="00A71C6A">
              <w:rPr>
                <w:rFonts w:hint="eastAsia"/>
                <w:sz w:val="22"/>
                <w:szCs w:val="22"/>
              </w:rPr>
              <w:t>ā</w:t>
            </w:r>
            <w:r w:rsidRPr="00A71C6A">
              <w:rPr>
                <w:sz w:val="22"/>
                <w:szCs w:val="22"/>
              </w:rPr>
              <w:t>cija par publisko iepirkumu</w:t>
            </w:r>
            <w:r>
              <w:rPr>
                <w:sz w:val="22"/>
                <w:szCs w:val="22"/>
              </w:rPr>
              <w:t xml:space="preserve"> </w:t>
            </w:r>
            <w:r w:rsidRPr="00A71C6A">
              <w:rPr>
                <w:sz w:val="22"/>
                <w:szCs w:val="22"/>
              </w:rPr>
              <w:t>pirms</w:t>
            </w:r>
            <w:r>
              <w:rPr>
                <w:sz w:val="22"/>
                <w:szCs w:val="22"/>
              </w:rPr>
              <w:t xml:space="preserve"> līgumtiesības ir piešķirtas, tā nodrošinot </w:t>
            </w:r>
            <w:r w:rsidRPr="00A71C6A">
              <w:rPr>
                <w:sz w:val="22"/>
                <w:szCs w:val="22"/>
              </w:rPr>
              <w:t>iesp</w:t>
            </w:r>
            <w:r w:rsidRPr="00A71C6A">
              <w:rPr>
                <w:rFonts w:hint="eastAsia"/>
                <w:sz w:val="22"/>
                <w:szCs w:val="22"/>
              </w:rPr>
              <w:t>ē</w:t>
            </w:r>
            <w:r>
              <w:rPr>
                <w:sz w:val="22"/>
                <w:szCs w:val="22"/>
              </w:rPr>
              <w:t>ju</w:t>
            </w:r>
            <w:r w:rsidRPr="00A71C6A">
              <w:rPr>
                <w:sz w:val="22"/>
                <w:szCs w:val="22"/>
              </w:rPr>
              <w:t xml:space="preserve"> iesniegt pied</w:t>
            </w:r>
            <w:r w:rsidRPr="00A71C6A">
              <w:rPr>
                <w:rFonts w:hint="eastAsia"/>
                <w:sz w:val="22"/>
                <w:szCs w:val="22"/>
              </w:rPr>
              <w:t>ā</w:t>
            </w:r>
            <w:r w:rsidRPr="00A71C6A">
              <w:rPr>
                <w:sz w:val="22"/>
                <w:szCs w:val="22"/>
              </w:rPr>
              <w:t>v</w:t>
            </w:r>
            <w:r w:rsidRPr="00A71C6A">
              <w:rPr>
                <w:rFonts w:hint="eastAsia"/>
                <w:sz w:val="22"/>
                <w:szCs w:val="22"/>
              </w:rPr>
              <w:t>ā</w:t>
            </w:r>
            <w:r w:rsidRPr="00A71C6A">
              <w:rPr>
                <w:sz w:val="22"/>
                <w:szCs w:val="22"/>
              </w:rPr>
              <w:t>jumu vai</w:t>
            </w:r>
            <w:r>
              <w:rPr>
                <w:sz w:val="22"/>
                <w:szCs w:val="22"/>
              </w:rPr>
              <w:t xml:space="preserve"> </w:t>
            </w:r>
            <w:r w:rsidR="004C5D3D" w:rsidRPr="00DA7541">
              <w:rPr>
                <w:sz w:val="22"/>
                <w:szCs w:val="22"/>
              </w:rPr>
              <w:t>pieteikumu</w:t>
            </w:r>
            <w:r w:rsidRPr="00A71C6A">
              <w:rPr>
                <w:sz w:val="22"/>
                <w:szCs w:val="22"/>
              </w:rPr>
              <w:t>.</w:t>
            </w:r>
          </w:p>
        </w:tc>
        <w:tc>
          <w:tcPr>
            <w:tcW w:w="912" w:type="pct"/>
            <w:tcBorders>
              <w:top w:val="single" w:sz="4" w:space="0" w:color="auto"/>
              <w:left w:val="single" w:sz="4" w:space="0" w:color="auto"/>
              <w:bottom w:val="single" w:sz="4" w:space="0" w:color="auto"/>
              <w:right w:val="single" w:sz="4" w:space="0" w:color="auto"/>
            </w:tcBorders>
          </w:tcPr>
          <w:p w14:paraId="025791E8" w14:textId="2EFBD00D" w:rsidR="00701A90" w:rsidRDefault="00701A90" w:rsidP="000A6D4F">
            <w:pPr>
              <w:jc w:val="both"/>
              <w:rPr>
                <w:sz w:val="22"/>
                <w:szCs w:val="22"/>
              </w:rPr>
            </w:pPr>
            <w:r>
              <w:rPr>
                <w:sz w:val="22"/>
                <w:szCs w:val="22"/>
              </w:rPr>
              <w:t>100%</w:t>
            </w:r>
            <w:r w:rsidR="00B2389D">
              <w:rPr>
                <w:sz w:val="22"/>
                <w:szCs w:val="22"/>
              </w:rPr>
              <w:t>.</w:t>
            </w:r>
          </w:p>
          <w:p w14:paraId="748526DA" w14:textId="77777777" w:rsidR="00701A90" w:rsidRDefault="00701A90" w:rsidP="000A6D4F">
            <w:pPr>
              <w:jc w:val="both"/>
              <w:rPr>
                <w:sz w:val="22"/>
                <w:szCs w:val="22"/>
              </w:rPr>
            </w:pPr>
          </w:p>
          <w:p w14:paraId="122A5DCA" w14:textId="77777777" w:rsidR="00B459CD" w:rsidRDefault="00B459CD" w:rsidP="00284E35">
            <w:pPr>
              <w:jc w:val="both"/>
              <w:rPr>
                <w:sz w:val="22"/>
                <w:szCs w:val="22"/>
              </w:rPr>
            </w:pPr>
          </w:p>
          <w:p w14:paraId="7487724F" w14:textId="77777777" w:rsidR="00B459CD" w:rsidRDefault="00B459CD" w:rsidP="00284E35">
            <w:pPr>
              <w:jc w:val="both"/>
              <w:rPr>
                <w:sz w:val="22"/>
                <w:szCs w:val="22"/>
              </w:rPr>
            </w:pPr>
          </w:p>
          <w:p w14:paraId="2F13C232" w14:textId="77777777" w:rsidR="00B459CD" w:rsidRDefault="00B459CD" w:rsidP="00284E35">
            <w:pPr>
              <w:jc w:val="both"/>
              <w:rPr>
                <w:sz w:val="22"/>
                <w:szCs w:val="22"/>
              </w:rPr>
            </w:pPr>
          </w:p>
          <w:p w14:paraId="33307488" w14:textId="7A4D2178" w:rsidR="00701A90" w:rsidRPr="00D34969" w:rsidRDefault="00701A90" w:rsidP="00BC67E8">
            <w:pPr>
              <w:jc w:val="both"/>
              <w:rPr>
                <w:sz w:val="22"/>
                <w:szCs w:val="22"/>
              </w:rPr>
            </w:pPr>
            <w:r>
              <w:rPr>
                <w:sz w:val="22"/>
                <w:szCs w:val="22"/>
              </w:rPr>
              <w:t xml:space="preserve">25%, </w:t>
            </w:r>
            <w:r w:rsidRPr="007423DD">
              <w:rPr>
                <w:sz w:val="22"/>
                <w:szCs w:val="22"/>
              </w:rPr>
              <w:t xml:space="preserve">ja </w:t>
            </w:r>
            <w:r>
              <w:rPr>
                <w:sz w:val="22"/>
                <w:szCs w:val="22"/>
              </w:rPr>
              <w:t>paziņojums par līgum</w:t>
            </w:r>
            <w:r w:rsidR="001A07CF">
              <w:rPr>
                <w:sz w:val="22"/>
                <w:szCs w:val="22"/>
              </w:rPr>
              <w:t>u</w:t>
            </w:r>
            <w:r>
              <w:rPr>
                <w:sz w:val="22"/>
                <w:szCs w:val="22"/>
              </w:rPr>
              <w:t xml:space="preserve"> nav bijis publicēts ES Oficiālajā </w:t>
            </w:r>
            <w:r w:rsidR="002505C7" w:rsidRPr="002505C7">
              <w:rPr>
                <w:sz w:val="22"/>
                <w:szCs w:val="22"/>
              </w:rPr>
              <w:t>Vēstnesī</w:t>
            </w:r>
            <w:r>
              <w:rPr>
                <w:sz w:val="22"/>
                <w:szCs w:val="22"/>
              </w:rPr>
              <w:t>, bet tas publicēts</w:t>
            </w:r>
            <w:r w:rsidR="00DA701D">
              <w:rPr>
                <w:sz w:val="22"/>
                <w:szCs w:val="22"/>
              </w:rPr>
              <w:t xml:space="preserve"> </w:t>
            </w:r>
            <w:r w:rsidR="00E55BBA">
              <w:rPr>
                <w:sz w:val="22"/>
                <w:szCs w:val="22"/>
              </w:rPr>
              <w:t xml:space="preserve">IUB tīmekļa vietnē </w:t>
            </w:r>
            <w:r w:rsidR="00DA701D" w:rsidRPr="007423DD">
              <w:rPr>
                <w:sz w:val="22"/>
                <w:szCs w:val="22"/>
              </w:rPr>
              <w:t xml:space="preserve">vai pamatstandarti </w:t>
            </w:r>
            <w:r w:rsidR="00DA701D" w:rsidRPr="007423DD">
              <w:rPr>
                <w:sz w:val="22"/>
                <w:szCs w:val="22"/>
              </w:rPr>
              <w:br/>
            </w:r>
            <w:r w:rsidR="00DA701D">
              <w:rPr>
                <w:sz w:val="22"/>
                <w:szCs w:val="22"/>
              </w:rPr>
              <w:t>p</w:t>
            </w:r>
            <w:r w:rsidR="00DA701D" w:rsidRPr="007423DD">
              <w:rPr>
                <w:sz w:val="22"/>
                <w:szCs w:val="22"/>
              </w:rPr>
              <w:t>aziņojum</w:t>
            </w:r>
            <w:r w:rsidR="00DA701D">
              <w:rPr>
                <w:sz w:val="22"/>
                <w:szCs w:val="22"/>
              </w:rPr>
              <w:t>a par līgumu</w:t>
            </w:r>
            <w:r w:rsidR="00DA701D" w:rsidRPr="007423DD">
              <w:rPr>
                <w:sz w:val="22"/>
                <w:szCs w:val="22"/>
              </w:rPr>
              <w:t xml:space="preserve"> publicēšana</w:t>
            </w:r>
            <w:r w:rsidR="00DA701D">
              <w:rPr>
                <w:sz w:val="22"/>
                <w:szCs w:val="22"/>
              </w:rPr>
              <w:t>i</w:t>
            </w:r>
            <w:r w:rsidR="00DA701D" w:rsidRPr="007423DD">
              <w:rPr>
                <w:sz w:val="22"/>
                <w:szCs w:val="22"/>
              </w:rPr>
              <w:t xml:space="preserve"> bija </w:t>
            </w:r>
            <w:r w:rsidR="00DA701D" w:rsidRPr="007423DD">
              <w:rPr>
                <w:sz w:val="22"/>
                <w:szCs w:val="22"/>
              </w:rPr>
              <w:br/>
              <w:t>ievērot</w:t>
            </w:r>
            <w:r w:rsidR="00DA701D">
              <w:rPr>
                <w:sz w:val="22"/>
                <w:szCs w:val="22"/>
              </w:rPr>
              <w:t>i</w:t>
            </w:r>
            <w:r w:rsidR="00DA701D">
              <w:rPr>
                <w:rStyle w:val="FootnoteReference"/>
                <w:sz w:val="22"/>
                <w:szCs w:val="22"/>
              </w:rPr>
              <w:footnoteReference w:id="14"/>
            </w:r>
            <w:r w:rsidR="00DA701D" w:rsidRPr="007423DD">
              <w:rPr>
                <w:sz w:val="22"/>
                <w:szCs w:val="22"/>
              </w:rPr>
              <w:t>.</w:t>
            </w:r>
          </w:p>
        </w:tc>
      </w:tr>
      <w:tr w:rsidR="002A6D87" w:rsidRPr="009D07C7" w14:paraId="3B89A3CD" w14:textId="77777777" w:rsidTr="002A6D87">
        <w:trPr>
          <w:trHeight w:val="332"/>
        </w:trPr>
        <w:tc>
          <w:tcPr>
            <w:tcW w:w="276" w:type="pct"/>
            <w:tcBorders>
              <w:bottom w:val="single" w:sz="4" w:space="0" w:color="auto"/>
            </w:tcBorders>
          </w:tcPr>
          <w:p w14:paraId="5F565159" w14:textId="77777777" w:rsidR="002A6D87" w:rsidRPr="009D07C7" w:rsidRDefault="002A6D87" w:rsidP="002A6D87">
            <w:pPr>
              <w:numPr>
                <w:ilvl w:val="0"/>
                <w:numId w:val="1"/>
              </w:numPr>
              <w:rPr>
                <w:sz w:val="22"/>
                <w:szCs w:val="22"/>
              </w:rPr>
            </w:pPr>
          </w:p>
        </w:tc>
        <w:tc>
          <w:tcPr>
            <w:tcW w:w="1726" w:type="pct"/>
            <w:tcBorders>
              <w:bottom w:val="single" w:sz="4" w:space="0" w:color="auto"/>
            </w:tcBorders>
          </w:tcPr>
          <w:p w14:paraId="588C17AE" w14:textId="7575EC7A" w:rsidR="002A6D87" w:rsidRDefault="002A6D87" w:rsidP="002A6D87">
            <w:pPr>
              <w:jc w:val="both"/>
              <w:rPr>
                <w:sz w:val="22"/>
                <w:szCs w:val="22"/>
              </w:rPr>
            </w:pPr>
            <w:r>
              <w:rPr>
                <w:sz w:val="22"/>
                <w:szCs w:val="22"/>
              </w:rPr>
              <w:t>Mākslīga būvdarbu, pakalpojumu, piegādes iepirkuma sadalīšana</w:t>
            </w:r>
          </w:p>
          <w:p w14:paraId="47FDF949" w14:textId="77777777" w:rsidR="00C821F3" w:rsidRDefault="00C821F3" w:rsidP="002A6D87">
            <w:pPr>
              <w:jc w:val="both"/>
              <w:rPr>
                <w:sz w:val="22"/>
                <w:szCs w:val="22"/>
              </w:rPr>
            </w:pPr>
          </w:p>
          <w:p w14:paraId="117563B4" w14:textId="77777777" w:rsidR="002A6D87" w:rsidRPr="00225303" w:rsidRDefault="002A6D87" w:rsidP="002A6D87">
            <w:pPr>
              <w:jc w:val="both"/>
              <w:rPr>
                <w:i/>
                <w:sz w:val="22"/>
                <w:szCs w:val="22"/>
              </w:rPr>
            </w:pPr>
            <w:r w:rsidRPr="00225303">
              <w:rPr>
                <w:i/>
                <w:sz w:val="22"/>
                <w:szCs w:val="22"/>
              </w:rPr>
              <w:t>Direktīvas Nr.</w:t>
            </w:r>
            <w:r>
              <w:rPr>
                <w:i/>
                <w:sz w:val="22"/>
                <w:szCs w:val="22"/>
              </w:rPr>
              <w:t>2014/24/ES 5(3).pants</w:t>
            </w:r>
          </w:p>
          <w:p w14:paraId="5F7E9CAC" w14:textId="77777777" w:rsidR="002A6D87" w:rsidRDefault="002A6D87" w:rsidP="002A6D87">
            <w:pPr>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16(3).pants</w:t>
            </w:r>
          </w:p>
          <w:p w14:paraId="174D59BD" w14:textId="77777777" w:rsidR="002A6D87" w:rsidRDefault="002A6D87" w:rsidP="002A6D87">
            <w:pPr>
              <w:jc w:val="both"/>
              <w:rPr>
                <w:i/>
                <w:sz w:val="22"/>
                <w:szCs w:val="22"/>
              </w:rPr>
            </w:pPr>
          </w:p>
          <w:p w14:paraId="0D7BB141" w14:textId="4F71C53E" w:rsidR="002A6D87" w:rsidRDefault="002A6D87" w:rsidP="00BC67E8">
            <w:pPr>
              <w:jc w:val="both"/>
              <w:rPr>
                <w:sz w:val="22"/>
                <w:szCs w:val="22"/>
              </w:rPr>
            </w:pPr>
            <w:r w:rsidRPr="00A2172D">
              <w:rPr>
                <w:sz w:val="22"/>
                <w:szCs w:val="22"/>
              </w:rPr>
              <w:t xml:space="preserve">(EK 19.12.2013. vadlīniju  2.1.sadaļas </w:t>
            </w:r>
            <w:r>
              <w:rPr>
                <w:sz w:val="22"/>
                <w:szCs w:val="22"/>
              </w:rPr>
              <w:t>2</w:t>
            </w:r>
            <w:r w:rsidRPr="00A2172D">
              <w:rPr>
                <w:sz w:val="22"/>
                <w:szCs w:val="22"/>
              </w:rPr>
              <w:t>.punkts)</w:t>
            </w:r>
          </w:p>
        </w:tc>
        <w:tc>
          <w:tcPr>
            <w:tcW w:w="2086" w:type="pct"/>
            <w:gridSpan w:val="2"/>
            <w:tcBorders>
              <w:bottom w:val="single" w:sz="4" w:space="0" w:color="auto"/>
            </w:tcBorders>
          </w:tcPr>
          <w:p w14:paraId="29DD7813" w14:textId="77777777" w:rsidR="002A6D87" w:rsidRPr="00A71C6A" w:rsidRDefault="002A6D87" w:rsidP="002A6D87">
            <w:pPr>
              <w:jc w:val="both"/>
              <w:rPr>
                <w:sz w:val="22"/>
                <w:szCs w:val="22"/>
              </w:rPr>
            </w:pPr>
            <w:r w:rsidRPr="00A71C6A">
              <w:rPr>
                <w:sz w:val="22"/>
                <w:szCs w:val="22"/>
              </w:rPr>
              <w:t>B</w:t>
            </w:r>
            <w:r w:rsidRPr="00A71C6A">
              <w:rPr>
                <w:rFonts w:hint="eastAsia"/>
                <w:sz w:val="22"/>
                <w:szCs w:val="22"/>
              </w:rPr>
              <w:t>ū</w:t>
            </w:r>
            <w:r w:rsidRPr="00A71C6A">
              <w:rPr>
                <w:sz w:val="22"/>
                <w:szCs w:val="22"/>
              </w:rPr>
              <w:t>vdarbu projekts vai ierosin</w:t>
            </w:r>
            <w:r w:rsidRPr="00A71C6A">
              <w:rPr>
                <w:rFonts w:hint="eastAsia"/>
                <w:sz w:val="22"/>
                <w:szCs w:val="22"/>
              </w:rPr>
              <w:t>ā</w:t>
            </w:r>
            <w:r w:rsidRPr="00A71C6A">
              <w:rPr>
                <w:sz w:val="22"/>
                <w:szCs w:val="22"/>
              </w:rPr>
              <w:t>tais</w:t>
            </w:r>
            <w:r>
              <w:rPr>
                <w:sz w:val="22"/>
                <w:szCs w:val="22"/>
              </w:rPr>
              <w:t xml:space="preserve"> </w:t>
            </w:r>
            <w:r w:rsidRPr="00A71C6A">
              <w:rPr>
                <w:sz w:val="22"/>
                <w:szCs w:val="22"/>
              </w:rPr>
              <w:t>iepirkums par konkr</w:t>
            </w:r>
            <w:r w:rsidRPr="00A71C6A">
              <w:rPr>
                <w:rFonts w:hint="eastAsia"/>
                <w:sz w:val="22"/>
                <w:szCs w:val="22"/>
              </w:rPr>
              <w:t>ē</w:t>
            </w:r>
            <w:r w:rsidRPr="00A71C6A">
              <w:rPr>
                <w:sz w:val="22"/>
                <w:szCs w:val="22"/>
              </w:rPr>
              <w:t>tu pieg</w:t>
            </w:r>
            <w:r w:rsidRPr="00A71C6A">
              <w:rPr>
                <w:rFonts w:hint="eastAsia"/>
                <w:sz w:val="22"/>
                <w:szCs w:val="22"/>
              </w:rPr>
              <w:t>āž</w:t>
            </w:r>
            <w:r w:rsidRPr="00A71C6A">
              <w:rPr>
                <w:sz w:val="22"/>
                <w:szCs w:val="22"/>
              </w:rPr>
              <w:t>u</w:t>
            </w:r>
          </w:p>
          <w:p w14:paraId="305449FE" w14:textId="77777777" w:rsidR="002A6D87" w:rsidRPr="00A71C6A" w:rsidRDefault="002A6D87" w:rsidP="002A6D87">
            <w:pPr>
              <w:jc w:val="both"/>
              <w:rPr>
                <w:sz w:val="22"/>
                <w:szCs w:val="22"/>
              </w:rPr>
            </w:pPr>
            <w:r w:rsidRPr="00A71C6A">
              <w:rPr>
                <w:sz w:val="22"/>
                <w:szCs w:val="22"/>
              </w:rPr>
              <w:t>un/vai pakalpojumu daudzumu ir</w:t>
            </w:r>
            <w:r>
              <w:rPr>
                <w:sz w:val="22"/>
                <w:szCs w:val="22"/>
              </w:rPr>
              <w:t xml:space="preserve"> </w:t>
            </w:r>
            <w:r w:rsidRPr="00A71C6A">
              <w:rPr>
                <w:sz w:val="22"/>
                <w:szCs w:val="22"/>
              </w:rPr>
              <w:t>sadal</w:t>
            </w:r>
            <w:r w:rsidRPr="00A71C6A">
              <w:rPr>
                <w:rFonts w:hint="eastAsia"/>
                <w:sz w:val="22"/>
                <w:szCs w:val="22"/>
              </w:rPr>
              <w:t>ī</w:t>
            </w:r>
            <w:r w:rsidRPr="00A71C6A">
              <w:rPr>
                <w:sz w:val="22"/>
                <w:szCs w:val="22"/>
              </w:rPr>
              <w:t>ts s</w:t>
            </w:r>
            <w:r w:rsidRPr="00A71C6A">
              <w:rPr>
                <w:rFonts w:hint="eastAsia"/>
                <w:sz w:val="22"/>
                <w:szCs w:val="22"/>
              </w:rPr>
              <w:t>ī</w:t>
            </w:r>
            <w:r w:rsidRPr="00A71C6A">
              <w:rPr>
                <w:sz w:val="22"/>
                <w:szCs w:val="22"/>
              </w:rPr>
              <w:t>k</w:t>
            </w:r>
            <w:r w:rsidRPr="00A71C6A">
              <w:rPr>
                <w:rFonts w:hint="eastAsia"/>
                <w:sz w:val="22"/>
                <w:szCs w:val="22"/>
              </w:rPr>
              <w:t>ā</w:t>
            </w:r>
            <w:r w:rsidRPr="00A71C6A">
              <w:rPr>
                <w:sz w:val="22"/>
                <w:szCs w:val="22"/>
              </w:rPr>
              <w:t>k, k</w:t>
            </w:r>
            <w:r w:rsidRPr="00A71C6A">
              <w:rPr>
                <w:rFonts w:hint="eastAsia"/>
                <w:sz w:val="22"/>
                <w:szCs w:val="22"/>
              </w:rPr>
              <w:t>ā</w:t>
            </w:r>
            <w:r w:rsidRPr="00A71C6A">
              <w:rPr>
                <w:sz w:val="22"/>
                <w:szCs w:val="22"/>
              </w:rPr>
              <w:t xml:space="preserve"> rezult</w:t>
            </w:r>
            <w:r w:rsidRPr="00A71C6A">
              <w:rPr>
                <w:rFonts w:hint="eastAsia"/>
                <w:sz w:val="22"/>
                <w:szCs w:val="22"/>
              </w:rPr>
              <w:t>ā</w:t>
            </w:r>
            <w:r w:rsidRPr="00A71C6A">
              <w:rPr>
                <w:sz w:val="22"/>
                <w:szCs w:val="22"/>
              </w:rPr>
              <w:t>t</w:t>
            </w:r>
            <w:r w:rsidRPr="00A71C6A">
              <w:rPr>
                <w:rFonts w:hint="eastAsia"/>
                <w:sz w:val="22"/>
                <w:szCs w:val="22"/>
              </w:rPr>
              <w:t>ā</w:t>
            </w:r>
            <w:r w:rsidRPr="00A71C6A">
              <w:rPr>
                <w:sz w:val="22"/>
                <w:szCs w:val="22"/>
              </w:rPr>
              <w:t xml:space="preserve"> tas</w:t>
            </w:r>
            <w:r>
              <w:rPr>
                <w:sz w:val="22"/>
                <w:szCs w:val="22"/>
              </w:rPr>
              <w:t xml:space="preserve"> vairs</w:t>
            </w:r>
            <w:r w:rsidRPr="00A71C6A">
              <w:rPr>
                <w:sz w:val="22"/>
                <w:szCs w:val="22"/>
              </w:rPr>
              <w:t xml:space="preserve"> </w:t>
            </w:r>
            <w:r>
              <w:rPr>
                <w:sz w:val="22"/>
                <w:szCs w:val="22"/>
              </w:rPr>
              <w:t>neatbilst</w:t>
            </w:r>
            <w:r w:rsidRPr="00A71C6A">
              <w:rPr>
                <w:sz w:val="22"/>
                <w:szCs w:val="22"/>
              </w:rPr>
              <w:t xml:space="preserve"> public</w:t>
            </w:r>
            <w:r w:rsidRPr="00A71C6A">
              <w:rPr>
                <w:rFonts w:hint="eastAsia"/>
                <w:sz w:val="22"/>
                <w:szCs w:val="22"/>
              </w:rPr>
              <w:t>ē</w:t>
            </w:r>
            <w:r>
              <w:rPr>
                <w:sz w:val="22"/>
                <w:szCs w:val="22"/>
              </w:rPr>
              <w:t>šanai</w:t>
            </w:r>
            <w:r w:rsidRPr="00A71C6A">
              <w:rPr>
                <w:sz w:val="22"/>
                <w:szCs w:val="22"/>
              </w:rPr>
              <w:t xml:space="preserve"> </w:t>
            </w:r>
            <w:r>
              <w:rPr>
                <w:sz w:val="22"/>
                <w:szCs w:val="22"/>
              </w:rPr>
              <w:t>ES O</w:t>
            </w:r>
            <w:r w:rsidRPr="00BD74C6">
              <w:rPr>
                <w:sz w:val="22"/>
                <w:szCs w:val="22"/>
              </w:rPr>
              <w:t>ficiālajā Vēstnesī</w:t>
            </w:r>
            <w:r>
              <w:rPr>
                <w:sz w:val="22"/>
                <w:szCs w:val="22"/>
              </w:rPr>
              <w:t xml:space="preserve"> (</w:t>
            </w:r>
            <w:r w:rsidRPr="00A71C6A">
              <w:rPr>
                <w:sz w:val="22"/>
                <w:szCs w:val="22"/>
              </w:rPr>
              <w:t>attiec</w:t>
            </w:r>
            <w:r w:rsidRPr="00A71C6A">
              <w:rPr>
                <w:rFonts w:hint="eastAsia"/>
                <w:sz w:val="22"/>
                <w:szCs w:val="22"/>
              </w:rPr>
              <w:t>ī</w:t>
            </w:r>
            <w:r w:rsidRPr="00A71C6A">
              <w:rPr>
                <w:sz w:val="22"/>
                <w:szCs w:val="22"/>
              </w:rPr>
              <w:t>b</w:t>
            </w:r>
            <w:r w:rsidRPr="00A71C6A">
              <w:rPr>
                <w:rFonts w:hint="eastAsia"/>
                <w:sz w:val="22"/>
                <w:szCs w:val="22"/>
              </w:rPr>
              <w:t>ā</w:t>
            </w:r>
            <w:r w:rsidRPr="00A71C6A">
              <w:rPr>
                <w:sz w:val="22"/>
                <w:szCs w:val="22"/>
              </w:rPr>
              <w:t xml:space="preserve"> uz visu konkr</w:t>
            </w:r>
            <w:r w:rsidRPr="00A71C6A">
              <w:rPr>
                <w:rFonts w:hint="eastAsia"/>
                <w:sz w:val="22"/>
                <w:szCs w:val="22"/>
              </w:rPr>
              <w:t>ē</w:t>
            </w:r>
            <w:r w:rsidRPr="00A71C6A">
              <w:rPr>
                <w:sz w:val="22"/>
                <w:szCs w:val="22"/>
              </w:rPr>
              <w:t>to</w:t>
            </w:r>
            <w:r>
              <w:rPr>
                <w:sz w:val="22"/>
                <w:szCs w:val="22"/>
              </w:rPr>
              <w:t xml:space="preserve"> </w:t>
            </w:r>
            <w:r w:rsidRPr="00A71C6A">
              <w:rPr>
                <w:sz w:val="22"/>
                <w:szCs w:val="22"/>
              </w:rPr>
              <w:t>b</w:t>
            </w:r>
            <w:r w:rsidRPr="00A71C6A">
              <w:rPr>
                <w:rFonts w:hint="eastAsia"/>
                <w:sz w:val="22"/>
                <w:szCs w:val="22"/>
              </w:rPr>
              <w:t>ū</w:t>
            </w:r>
            <w:r w:rsidRPr="00A71C6A">
              <w:rPr>
                <w:sz w:val="22"/>
                <w:szCs w:val="22"/>
              </w:rPr>
              <w:t>vdarbu, pakalpojumu vai</w:t>
            </w:r>
            <w:r>
              <w:rPr>
                <w:sz w:val="22"/>
                <w:szCs w:val="22"/>
              </w:rPr>
              <w:t xml:space="preserve"> </w:t>
            </w:r>
            <w:r w:rsidRPr="00A71C6A">
              <w:rPr>
                <w:sz w:val="22"/>
                <w:szCs w:val="22"/>
              </w:rPr>
              <w:t>pieg</w:t>
            </w:r>
            <w:r w:rsidRPr="00A71C6A">
              <w:rPr>
                <w:rFonts w:hint="eastAsia"/>
                <w:sz w:val="22"/>
                <w:szCs w:val="22"/>
              </w:rPr>
              <w:t>āž</w:t>
            </w:r>
            <w:r w:rsidRPr="00A71C6A">
              <w:rPr>
                <w:sz w:val="22"/>
                <w:szCs w:val="22"/>
              </w:rPr>
              <w:t>u kopumu</w:t>
            </w:r>
            <w:r>
              <w:rPr>
                <w:sz w:val="22"/>
                <w:szCs w:val="22"/>
              </w:rPr>
              <w:t>)</w:t>
            </w:r>
            <w:r w:rsidRPr="00A71C6A">
              <w:rPr>
                <w:sz w:val="22"/>
                <w:szCs w:val="22"/>
              </w:rPr>
              <w:t>.</w:t>
            </w:r>
          </w:p>
          <w:p w14:paraId="2CA76DFD" w14:textId="77777777" w:rsidR="002A6D87" w:rsidRDefault="002A6D87" w:rsidP="002A6D87">
            <w:pPr>
              <w:jc w:val="both"/>
              <w:rPr>
                <w:sz w:val="22"/>
                <w:szCs w:val="22"/>
              </w:rPr>
            </w:pPr>
          </w:p>
          <w:p w14:paraId="2E335F26" w14:textId="674A4A83" w:rsidR="002A6D87" w:rsidRDefault="002A6D87" w:rsidP="002A6D87">
            <w:pPr>
              <w:jc w:val="both"/>
              <w:rPr>
                <w:sz w:val="22"/>
                <w:szCs w:val="22"/>
              </w:rPr>
            </w:pPr>
            <w:r>
              <w:rPr>
                <w:sz w:val="22"/>
                <w:szCs w:val="22"/>
              </w:rPr>
              <w:t>J</w:t>
            </w:r>
            <w:r w:rsidRPr="00A71C6A">
              <w:rPr>
                <w:sz w:val="22"/>
                <w:szCs w:val="22"/>
              </w:rPr>
              <w:t>a l</w:t>
            </w:r>
            <w:r w:rsidRPr="00A71C6A">
              <w:rPr>
                <w:rFonts w:hint="eastAsia"/>
                <w:sz w:val="22"/>
                <w:szCs w:val="22"/>
              </w:rPr>
              <w:t>ī</w:t>
            </w:r>
            <w:r w:rsidRPr="00A71C6A">
              <w:rPr>
                <w:sz w:val="22"/>
                <w:szCs w:val="22"/>
              </w:rPr>
              <w:t>guma pazi</w:t>
            </w:r>
            <w:r w:rsidRPr="00A71C6A">
              <w:rPr>
                <w:rFonts w:hint="eastAsia"/>
                <w:sz w:val="22"/>
                <w:szCs w:val="22"/>
              </w:rPr>
              <w:t>ņ</w:t>
            </w:r>
            <w:r w:rsidRPr="00A71C6A">
              <w:rPr>
                <w:sz w:val="22"/>
                <w:szCs w:val="22"/>
              </w:rPr>
              <w:t>ojuma</w:t>
            </w:r>
            <w:r>
              <w:rPr>
                <w:sz w:val="22"/>
                <w:szCs w:val="22"/>
              </w:rPr>
              <w:t xml:space="preserve"> </w:t>
            </w:r>
            <w:r w:rsidRPr="00A71C6A">
              <w:rPr>
                <w:sz w:val="22"/>
                <w:szCs w:val="22"/>
              </w:rPr>
              <w:t>publik</w:t>
            </w:r>
            <w:r w:rsidRPr="00A71C6A">
              <w:rPr>
                <w:rFonts w:hint="eastAsia"/>
                <w:sz w:val="22"/>
                <w:szCs w:val="22"/>
              </w:rPr>
              <w:t>ā</w:t>
            </w:r>
            <w:r w:rsidRPr="00A71C6A">
              <w:rPr>
                <w:sz w:val="22"/>
                <w:szCs w:val="22"/>
              </w:rPr>
              <w:t>cija ir nepiecie</w:t>
            </w:r>
            <w:r w:rsidRPr="00A71C6A">
              <w:rPr>
                <w:rFonts w:hint="eastAsia"/>
                <w:sz w:val="22"/>
                <w:szCs w:val="22"/>
              </w:rPr>
              <w:t>š</w:t>
            </w:r>
            <w:r w:rsidRPr="00A71C6A">
              <w:rPr>
                <w:sz w:val="22"/>
                <w:szCs w:val="22"/>
              </w:rPr>
              <w:t xml:space="preserve">ama </w:t>
            </w:r>
            <w:r w:rsidRPr="00BD74C6">
              <w:rPr>
                <w:sz w:val="22"/>
                <w:szCs w:val="22"/>
              </w:rPr>
              <w:t xml:space="preserve">ES </w:t>
            </w:r>
            <w:r>
              <w:rPr>
                <w:sz w:val="22"/>
                <w:szCs w:val="22"/>
              </w:rPr>
              <w:t>O</w:t>
            </w:r>
            <w:r w:rsidRPr="00BD74C6">
              <w:rPr>
                <w:sz w:val="22"/>
                <w:szCs w:val="22"/>
              </w:rPr>
              <w:t>ficiālajā Vēstnesī</w:t>
            </w:r>
            <w:r>
              <w:rPr>
                <w:sz w:val="22"/>
                <w:szCs w:val="22"/>
              </w:rPr>
              <w:t xml:space="preserve">, bet </w:t>
            </w:r>
            <w:r w:rsidRPr="00A71C6A">
              <w:rPr>
                <w:sz w:val="22"/>
                <w:szCs w:val="22"/>
              </w:rPr>
              <w:t>l</w:t>
            </w:r>
            <w:r w:rsidRPr="00A71C6A">
              <w:rPr>
                <w:rFonts w:hint="eastAsia"/>
                <w:sz w:val="22"/>
                <w:szCs w:val="22"/>
              </w:rPr>
              <w:t>ī</w:t>
            </w:r>
            <w:r w:rsidRPr="00A71C6A">
              <w:rPr>
                <w:sz w:val="22"/>
                <w:szCs w:val="22"/>
              </w:rPr>
              <w:t>guma pazi</w:t>
            </w:r>
            <w:r w:rsidRPr="00A71C6A">
              <w:rPr>
                <w:rFonts w:hint="eastAsia"/>
                <w:sz w:val="22"/>
                <w:szCs w:val="22"/>
              </w:rPr>
              <w:t>ņ</w:t>
            </w:r>
            <w:r w:rsidRPr="00A71C6A">
              <w:rPr>
                <w:sz w:val="22"/>
                <w:szCs w:val="22"/>
              </w:rPr>
              <w:t>ojums</w:t>
            </w:r>
            <w:r>
              <w:rPr>
                <w:sz w:val="22"/>
                <w:szCs w:val="22"/>
              </w:rPr>
              <w:t xml:space="preserve"> </w:t>
            </w:r>
            <w:r w:rsidRPr="00A71C6A">
              <w:rPr>
                <w:sz w:val="22"/>
                <w:szCs w:val="22"/>
              </w:rPr>
              <w:t xml:space="preserve">netika </w:t>
            </w:r>
            <w:r>
              <w:rPr>
                <w:sz w:val="22"/>
                <w:szCs w:val="22"/>
              </w:rPr>
              <w:t xml:space="preserve">tur </w:t>
            </w:r>
            <w:r w:rsidRPr="00A71C6A">
              <w:rPr>
                <w:sz w:val="22"/>
                <w:szCs w:val="22"/>
              </w:rPr>
              <w:t>public</w:t>
            </w:r>
            <w:r w:rsidRPr="00A71C6A">
              <w:rPr>
                <w:rFonts w:hint="eastAsia"/>
                <w:sz w:val="22"/>
                <w:szCs w:val="22"/>
              </w:rPr>
              <w:t>ē</w:t>
            </w:r>
            <w:r>
              <w:rPr>
                <w:sz w:val="22"/>
                <w:szCs w:val="22"/>
              </w:rPr>
              <w:t>ts</w:t>
            </w:r>
            <w:r w:rsidRPr="00A71C6A">
              <w:rPr>
                <w:sz w:val="22"/>
                <w:szCs w:val="22"/>
              </w:rPr>
              <w:t xml:space="preserve">, </w:t>
            </w:r>
            <w:r>
              <w:rPr>
                <w:sz w:val="22"/>
                <w:szCs w:val="22"/>
              </w:rPr>
              <w:t xml:space="preserve">samazinātu finanšu korekcijas apjomu var piemērot, ja </w:t>
            </w:r>
            <w:r w:rsidRPr="00A71C6A">
              <w:rPr>
                <w:sz w:val="22"/>
                <w:szCs w:val="22"/>
              </w:rPr>
              <w:t>cit</w:t>
            </w:r>
            <w:r w:rsidRPr="00A71C6A">
              <w:rPr>
                <w:rFonts w:hint="eastAsia"/>
                <w:sz w:val="22"/>
                <w:szCs w:val="22"/>
              </w:rPr>
              <w:t>ā</w:t>
            </w:r>
            <w:r w:rsidRPr="00A71C6A">
              <w:rPr>
                <w:sz w:val="22"/>
                <w:szCs w:val="22"/>
              </w:rPr>
              <w:t xml:space="preserve"> dal</w:t>
            </w:r>
            <w:r w:rsidRPr="00A71C6A">
              <w:rPr>
                <w:rFonts w:hint="eastAsia"/>
                <w:sz w:val="22"/>
                <w:szCs w:val="22"/>
              </w:rPr>
              <w:t>ī</w:t>
            </w:r>
            <w:r w:rsidRPr="00A71C6A">
              <w:rPr>
                <w:sz w:val="22"/>
                <w:szCs w:val="22"/>
              </w:rPr>
              <w:t>bvalst</w:t>
            </w:r>
            <w:r w:rsidRPr="00A71C6A">
              <w:rPr>
                <w:rFonts w:hint="eastAsia"/>
                <w:sz w:val="22"/>
                <w:szCs w:val="22"/>
              </w:rPr>
              <w:t>ī</w:t>
            </w:r>
            <w:r w:rsidRPr="00A71C6A">
              <w:rPr>
                <w:sz w:val="22"/>
                <w:szCs w:val="22"/>
              </w:rPr>
              <w:t xml:space="preserve"> </w:t>
            </w:r>
            <w:r w:rsidR="00C821F3" w:rsidRPr="00DA7541">
              <w:rPr>
                <w:sz w:val="22"/>
                <w:szCs w:val="22"/>
              </w:rPr>
              <w:t>re</w:t>
            </w:r>
            <w:r w:rsidR="00C821F3" w:rsidRPr="00DA7541">
              <w:rPr>
                <w:rFonts w:hint="eastAsia"/>
                <w:sz w:val="22"/>
                <w:szCs w:val="22"/>
              </w:rPr>
              <w:t>ģ</w:t>
            </w:r>
            <w:r w:rsidR="00C821F3" w:rsidRPr="00DA7541">
              <w:rPr>
                <w:sz w:val="22"/>
                <w:szCs w:val="22"/>
              </w:rPr>
              <w:t>istr</w:t>
            </w:r>
            <w:r w:rsidR="00C821F3" w:rsidRPr="00DA7541">
              <w:rPr>
                <w:rFonts w:hint="eastAsia"/>
                <w:sz w:val="22"/>
                <w:szCs w:val="22"/>
              </w:rPr>
              <w:t>ē</w:t>
            </w:r>
            <w:r w:rsidR="00C821F3" w:rsidRPr="00DA7541">
              <w:rPr>
                <w:sz w:val="22"/>
                <w:szCs w:val="22"/>
              </w:rPr>
              <w:t>tiem uzņēmumiem</w:t>
            </w:r>
            <w:r w:rsidRPr="007423DD">
              <w:rPr>
                <w:sz w:val="22"/>
                <w:szCs w:val="22"/>
              </w:rPr>
              <w:t xml:space="preserve">, </w:t>
            </w:r>
            <w:r w:rsidRPr="00A71C6A">
              <w:rPr>
                <w:sz w:val="22"/>
                <w:szCs w:val="22"/>
              </w:rPr>
              <w:t>ir pieejama atbilsto</w:t>
            </w:r>
            <w:r w:rsidRPr="00A71C6A">
              <w:rPr>
                <w:rFonts w:hint="eastAsia"/>
                <w:sz w:val="22"/>
                <w:szCs w:val="22"/>
              </w:rPr>
              <w:t>š</w:t>
            </w:r>
            <w:r w:rsidRPr="00A71C6A">
              <w:rPr>
                <w:sz w:val="22"/>
                <w:szCs w:val="22"/>
              </w:rPr>
              <w:t>a</w:t>
            </w:r>
            <w:r>
              <w:rPr>
                <w:sz w:val="22"/>
                <w:szCs w:val="22"/>
              </w:rPr>
              <w:t xml:space="preserve"> </w:t>
            </w:r>
            <w:r w:rsidRPr="00A71C6A">
              <w:rPr>
                <w:sz w:val="22"/>
                <w:szCs w:val="22"/>
              </w:rPr>
              <w:t>inform</w:t>
            </w:r>
            <w:r w:rsidRPr="00A71C6A">
              <w:rPr>
                <w:rFonts w:hint="eastAsia"/>
                <w:sz w:val="22"/>
                <w:szCs w:val="22"/>
              </w:rPr>
              <w:t>ā</w:t>
            </w:r>
            <w:r w:rsidRPr="00A71C6A">
              <w:rPr>
                <w:sz w:val="22"/>
                <w:szCs w:val="22"/>
              </w:rPr>
              <w:t>cija par publisko iepirkumu</w:t>
            </w:r>
            <w:r>
              <w:rPr>
                <w:sz w:val="22"/>
                <w:szCs w:val="22"/>
              </w:rPr>
              <w:t xml:space="preserve"> </w:t>
            </w:r>
            <w:r w:rsidRPr="00A71C6A">
              <w:rPr>
                <w:sz w:val="22"/>
                <w:szCs w:val="22"/>
              </w:rPr>
              <w:t>pirms</w:t>
            </w:r>
            <w:r>
              <w:rPr>
                <w:sz w:val="22"/>
                <w:szCs w:val="22"/>
              </w:rPr>
              <w:t xml:space="preserve"> līgumtiesības ir piešķirtas, tā nodrošinot </w:t>
            </w:r>
            <w:r w:rsidRPr="00A71C6A">
              <w:rPr>
                <w:sz w:val="22"/>
                <w:szCs w:val="22"/>
              </w:rPr>
              <w:t>iesp</w:t>
            </w:r>
            <w:r w:rsidRPr="00A71C6A">
              <w:rPr>
                <w:rFonts w:hint="eastAsia"/>
                <w:sz w:val="22"/>
                <w:szCs w:val="22"/>
              </w:rPr>
              <w:t>ē</w:t>
            </w:r>
            <w:r>
              <w:rPr>
                <w:sz w:val="22"/>
                <w:szCs w:val="22"/>
              </w:rPr>
              <w:t>ju</w:t>
            </w:r>
            <w:r w:rsidRPr="00A71C6A">
              <w:rPr>
                <w:sz w:val="22"/>
                <w:szCs w:val="22"/>
              </w:rPr>
              <w:t xml:space="preserve"> iesniegt pied</w:t>
            </w:r>
            <w:r w:rsidRPr="00A71C6A">
              <w:rPr>
                <w:rFonts w:hint="eastAsia"/>
                <w:sz w:val="22"/>
                <w:szCs w:val="22"/>
              </w:rPr>
              <w:t>ā</w:t>
            </w:r>
            <w:r w:rsidRPr="00A71C6A">
              <w:rPr>
                <w:sz w:val="22"/>
                <w:szCs w:val="22"/>
              </w:rPr>
              <w:t>v</w:t>
            </w:r>
            <w:r w:rsidRPr="00A71C6A">
              <w:rPr>
                <w:rFonts w:hint="eastAsia"/>
                <w:sz w:val="22"/>
                <w:szCs w:val="22"/>
              </w:rPr>
              <w:t>ā</w:t>
            </w:r>
            <w:r w:rsidRPr="00A71C6A">
              <w:rPr>
                <w:sz w:val="22"/>
                <w:szCs w:val="22"/>
              </w:rPr>
              <w:t>jumu vai</w:t>
            </w:r>
            <w:r>
              <w:rPr>
                <w:sz w:val="22"/>
                <w:szCs w:val="22"/>
              </w:rPr>
              <w:t xml:space="preserve"> </w:t>
            </w:r>
            <w:r w:rsidR="00C821F3" w:rsidRPr="00DA7541">
              <w:rPr>
                <w:sz w:val="22"/>
                <w:szCs w:val="22"/>
              </w:rPr>
              <w:t>pieteikumu (varētu būt arī citi dokumenti, piem., metu konkursā)</w:t>
            </w:r>
            <w:r w:rsidRPr="00A71C6A">
              <w:rPr>
                <w:sz w:val="22"/>
                <w:szCs w:val="22"/>
              </w:rPr>
              <w:t>.</w:t>
            </w:r>
          </w:p>
          <w:p w14:paraId="5D4BCFFF" w14:textId="5BB40F8F" w:rsidR="00C821F3" w:rsidRPr="00245153" w:rsidRDefault="00C821F3" w:rsidP="00C821F3">
            <w:pPr>
              <w:jc w:val="both"/>
              <w:rPr>
                <w:sz w:val="22"/>
                <w:szCs w:val="22"/>
              </w:rPr>
            </w:pPr>
          </w:p>
        </w:tc>
        <w:tc>
          <w:tcPr>
            <w:tcW w:w="912" w:type="pct"/>
            <w:tcBorders>
              <w:bottom w:val="single" w:sz="4" w:space="0" w:color="auto"/>
            </w:tcBorders>
          </w:tcPr>
          <w:p w14:paraId="18FE1E9B" w14:textId="77777777" w:rsidR="002A6D87" w:rsidRPr="00565AD8" w:rsidRDefault="002A6D87" w:rsidP="002A6D87">
            <w:pPr>
              <w:jc w:val="both"/>
              <w:rPr>
                <w:sz w:val="22"/>
                <w:szCs w:val="22"/>
              </w:rPr>
            </w:pPr>
            <w:r w:rsidRPr="00565AD8">
              <w:rPr>
                <w:sz w:val="22"/>
                <w:szCs w:val="22"/>
              </w:rPr>
              <w:t>100%</w:t>
            </w:r>
          </w:p>
          <w:p w14:paraId="67E8DC66" w14:textId="77777777" w:rsidR="002A6D87" w:rsidRPr="00565AD8" w:rsidRDefault="002A6D87" w:rsidP="002A6D87">
            <w:pPr>
              <w:jc w:val="both"/>
              <w:rPr>
                <w:sz w:val="22"/>
                <w:szCs w:val="22"/>
              </w:rPr>
            </w:pPr>
          </w:p>
          <w:p w14:paraId="6B5C28D1" w14:textId="77777777" w:rsidR="002A6D87" w:rsidRDefault="002A6D87" w:rsidP="002A6D87">
            <w:pPr>
              <w:jc w:val="both"/>
              <w:rPr>
                <w:sz w:val="22"/>
                <w:szCs w:val="22"/>
              </w:rPr>
            </w:pPr>
          </w:p>
          <w:p w14:paraId="4996CC1E" w14:textId="77777777" w:rsidR="002A6D87" w:rsidRDefault="002A6D87" w:rsidP="002A6D87">
            <w:pPr>
              <w:jc w:val="both"/>
              <w:rPr>
                <w:sz w:val="22"/>
                <w:szCs w:val="22"/>
              </w:rPr>
            </w:pPr>
          </w:p>
          <w:p w14:paraId="39216DD8" w14:textId="77777777" w:rsidR="002A6D87" w:rsidRDefault="002A6D87" w:rsidP="002A6D87">
            <w:pPr>
              <w:jc w:val="both"/>
              <w:rPr>
                <w:sz w:val="22"/>
                <w:szCs w:val="22"/>
              </w:rPr>
            </w:pPr>
          </w:p>
          <w:p w14:paraId="40774B1E" w14:textId="67410E55" w:rsidR="002A6D87" w:rsidRDefault="002A6D87" w:rsidP="00C821F3">
            <w:pPr>
              <w:jc w:val="both"/>
              <w:rPr>
                <w:sz w:val="22"/>
                <w:szCs w:val="22"/>
              </w:rPr>
            </w:pPr>
            <w:r>
              <w:rPr>
                <w:sz w:val="22"/>
                <w:szCs w:val="22"/>
              </w:rPr>
              <w:t>25%,</w:t>
            </w:r>
            <w:r w:rsidRPr="007423DD">
              <w:rPr>
                <w:sz w:val="22"/>
                <w:szCs w:val="22"/>
              </w:rPr>
              <w:t xml:space="preserve"> ja </w:t>
            </w:r>
            <w:r>
              <w:rPr>
                <w:sz w:val="22"/>
                <w:szCs w:val="22"/>
              </w:rPr>
              <w:t xml:space="preserve">paziņojums par līgumu nav bijis publicēts ES Oficiālajā </w:t>
            </w:r>
            <w:r w:rsidRPr="002505C7">
              <w:rPr>
                <w:sz w:val="22"/>
                <w:szCs w:val="22"/>
              </w:rPr>
              <w:t>Vēstnesī</w:t>
            </w:r>
            <w:r>
              <w:rPr>
                <w:sz w:val="22"/>
                <w:szCs w:val="22"/>
              </w:rPr>
              <w:t xml:space="preserve">, bet tas publicēts IUB tīmekļa vietnē </w:t>
            </w:r>
            <w:r w:rsidRPr="007423DD">
              <w:rPr>
                <w:sz w:val="22"/>
                <w:szCs w:val="22"/>
              </w:rPr>
              <w:t>(</w:t>
            </w:r>
            <w:r>
              <w:rPr>
                <w:sz w:val="22"/>
                <w:szCs w:val="22"/>
              </w:rPr>
              <w:t>saskaņā ar</w:t>
            </w:r>
            <w:r w:rsidRPr="007423DD">
              <w:rPr>
                <w:sz w:val="22"/>
                <w:szCs w:val="22"/>
              </w:rPr>
              <w:t xml:space="preserve"> valsts tiesību aktiem vai noteikumiem, </w:t>
            </w:r>
            <w:r>
              <w:rPr>
                <w:sz w:val="22"/>
                <w:szCs w:val="22"/>
              </w:rPr>
              <w:t>kas uz to attiecas)</w:t>
            </w:r>
            <w:r w:rsidRPr="007423DD">
              <w:rPr>
                <w:sz w:val="22"/>
                <w:szCs w:val="22"/>
              </w:rPr>
              <w:t xml:space="preserve"> vai pamatstandarti </w:t>
            </w:r>
            <w:r w:rsidRPr="007423DD">
              <w:rPr>
                <w:sz w:val="22"/>
                <w:szCs w:val="22"/>
              </w:rPr>
              <w:br/>
            </w:r>
            <w:r>
              <w:rPr>
                <w:sz w:val="22"/>
                <w:szCs w:val="22"/>
              </w:rPr>
              <w:t>p</w:t>
            </w:r>
            <w:r w:rsidRPr="007423DD">
              <w:rPr>
                <w:sz w:val="22"/>
                <w:szCs w:val="22"/>
              </w:rPr>
              <w:t>aziņojum</w:t>
            </w:r>
            <w:r>
              <w:rPr>
                <w:sz w:val="22"/>
                <w:szCs w:val="22"/>
              </w:rPr>
              <w:t>a par līgumu</w:t>
            </w:r>
            <w:r w:rsidRPr="007423DD">
              <w:rPr>
                <w:sz w:val="22"/>
                <w:szCs w:val="22"/>
              </w:rPr>
              <w:t xml:space="preserve"> publicēšana</w:t>
            </w:r>
            <w:r>
              <w:rPr>
                <w:sz w:val="22"/>
                <w:szCs w:val="22"/>
              </w:rPr>
              <w:t>i</w:t>
            </w:r>
            <w:r w:rsidRPr="007423DD">
              <w:rPr>
                <w:sz w:val="22"/>
                <w:szCs w:val="22"/>
              </w:rPr>
              <w:t xml:space="preserve"> bija </w:t>
            </w:r>
            <w:r w:rsidRPr="007423DD">
              <w:rPr>
                <w:sz w:val="22"/>
                <w:szCs w:val="22"/>
              </w:rPr>
              <w:br/>
              <w:t>ievērot</w:t>
            </w:r>
            <w:r>
              <w:rPr>
                <w:sz w:val="22"/>
                <w:szCs w:val="22"/>
              </w:rPr>
              <w:t>i</w:t>
            </w:r>
            <w:r>
              <w:rPr>
                <w:rStyle w:val="FootnoteReference"/>
                <w:sz w:val="22"/>
                <w:szCs w:val="22"/>
              </w:rPr>
              <w:footnoteReference w:id="15"/>
            </w:r>
            <w:r w:rsidRPr="007423DD">
              <w:rPr>
                <w:sz w:val="22"/>
                <w:szCs w:val="22"/>
              </w:rPr>
              <w:t>.</w:t>
            </w:r>
          </w:p>
        </w:tc>
      </w:tr>
      <w:tr w:rsidR="002A6D87" w:rsidRPr="009D07C7" w14:paraId="02C257FB" w14:textId="77777777" w:rsidTr="002A6D87">
        <w:trPr>
          <w:trHeight w:val="332"/>
        </w:trPr>
        <w:tc>
          <w:tcPr>
            <w:tcW w:w="276" w:type="pct"/>
            <w:tcBorders>
              <w:bottom w:val="single" w:sz="4" w:space="0" w:color="auto"/>
            </w:tcBorders>
          </w:tcPr>
          <w:p w14:paraId="218F7FA5" w14:textId="77777777" w:rsidR="002A6D87" w:rsidRPr="009D07C7" w:rsidRDefault="002A6D87" w:rsidP="002A6D87">
            <w:pPr>
              <w:numPr>
                <w:ilvl w:val="0"/>
                <w:numId w:val="1"/>
              </w:numPr>
              <w:rPr>
                <w:sz w:val="22"/>
                <w:szCs w:val="22"/>
              </w:rPr>
            </w:pPr>
          </w:p>
        </w:tc>
        <w:tc>
          <w:tcPr>
            <w:tcW w:w="1726" w:type="pct"/>
            <w:tcBorders>
              <w:bottom w:val="single" w:sz="4" w:space="0" w:color="auto"/>
            </w:tcBorders>
          </w:tcPr>
          <w:p w14:paraId="6E68C0C4" w14:textId="6B2B322E" w:rsidR="00DA30E8" w:rsidRPr="00DA30E8" w:rsidRDefault="00DA30E8" w:rsidP="00DA30E8">
            <w:pPr>
              <w:jc w:val="both"/>
              <w:rPr>
                <w:sz w:val="22"/>
                <w:szCs w:val="22"/>
              </w:rPr>
            </w:pPr>
            <w:r w:rsidRPr="00DA30E8">
              <w:rPr>
                <w:sz w:val="22"/>
                <w:szCs w:val="22"/>
              </w:rPr>
              <w:t>Neatbilst termiņi piedāvājumu vai pieteikumu iesniegšanai</w:t>
            </w:r>
          </w:p>
          <w:p w14:paraId="308DC03B" w14:textId="77777777" w:rsidR="002A6D87" w:rsidRPr="00A020A1" w:rsidRDefault="002A6D87" w:rsidP="002A6D87">
            <w:pPr>
              <w:jc w:val="both"/>
              <w:rPr>
                <w:sz w:val="10"/>
                <w:szCs w:val="10"/>
              </w:rPr>
            </w:pPr>
          </w:p>
          <w:p w14:paraId="49145BFE" w14:textId="4734B7BD" w:rsidR="002A6D87" w:rsidRDefault="002A6D87" w:rsidP="002A6D87">
            <w:pPr>
              <w:jc w:val="both"/>
              <w:rPr>
                <w:i/>
                <w:sz w:val="22"/>
                <w:szCs w:val="22"/>
              </w:rPr>
            </w:pPr>
            <w:r w:rsidRPr="00225303">
              <w:rPr>
                <w:i/>
                <w:sz w:val="22"/>
                <w:szCs w:val="22"/>
              </w:rPr>
              <w:t>Direktīvas Nr.</w:t>
            </w:r>
            <w:r>
              <w:rPr>
                <w:i/>
                <w:sz w:val="22"/>
                <w:szCs w:val="22"/>
              </w:rPr>
              <w:t>2014/24/ES 27(1).panta otrā un trešā daļa, 27(2).pants, 28(1).-28(3).pants, 28(6).pants, 29(1).panta ceturtā daļa, 30(1).pant</w:t>
            </w:r>
            <w:r w:rsidR="00174454">
              <w:rPr>
                <w:i/>
                <w:sz w:val="22"/>
                <w:szCs w:val="22"/>
              </w:rPr>
              <w:t>a otrā daļa</w:t>
            </w:r>
            <w:r>
              <w:rPr>
                <w:i/>
                <w:sz w:val="22"/>
                <w:szCs w:val="22"/>
              </w:rPr>
              <w:t>, 47(1).-47(3).pants, 53(1).pants</w:t>
            </w:r>
          </w:p>
          <w:p w14:paraId="2D1A00D5" w14:textId="77777777" w:rsidR="002A6D87" w:rsidRPr="00225303" w:rsidRDefault="002A6D87" w:rsidP="002A6D87">
            <w:pPr>
              <w:jc w:val="both"/>
              <w:rPr>
                <w:i/>
                <w:sz w:val="22"/>
                <w:szCs w:val="22"/>
              </w:rPr>
            </w:pPr>
          </w:p>
          <w:p w14:paraId="599EB1E3" w14:textId="77777777" w:rsidR="002A6D87" w:rsidRDefault="002A6D87" w:rsidP="002A6D87">
            <w:pPr>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w:t>
            </w:r>
          </w:p>
          <w:p w14:paraId="381B2862" w14:textId="77777777" w:rsidR="002A6D87" w:rsidRDefault="002A6D87" w:rsidP="002A6D87">
            <w:pPr>
              <w:jc w:val="both"/>
              <w:rPr>
                <w:i/>
                <w:sz w:val="22"/>
                <w:szCs w:val="22"/>
              </w:rPr>
            </w:pPr>
            <w:r>
              <w:rPr>
                <w:i/>
                <w:sz w:val="22"/>
                <w:szCs w:val="22"/>
              </w:rPr>
              <w:t>45(1).</w:t>
            </w:r>
            <w:r w:rsidRPr="00225303">
              <w:rPr>
                <w:i/>
                <w:sz w:val="22"/>
                <w:szCs w:val="22"/>
              </w:rPr>
              <w:t>pant</w:t>
            </w:r>
            <w:r>
              <w:rPr>
                <w:i/>
                <w:sz w:val="22"/>
                <w:szCs w:val="22"/>
              </w:rPr>
              <w:t>a pirmā, otrā un trešā daļa, 45(2).pants, 46.pants, 47.pants, 66(1).pants, 66(2).pants, 66(3).pants un 73(1).pants</w:t>
            </w:r>
          </w:p>
          <w:p w14:paraId="04E9060E" w14:textId="77777777" w:rsidR="002A6D87" w:rsidRDefault="002A6D87" w:rsidP="002A6D87">
            <w:pPr>
              <w:jc w:val="both"/>
              <w:rPr>
                <w:i/>
                <w:sz w:val="22"/>
                <w:szCs w:val="22"/>
              </w:rPr>
            </w:pPr>
          </w:p>
          <w:p w14:paraId="7A9A0160" w14:textId="77777777" w:rsidR="002A6D87" w:rsidRDefault="002A6D87" w:rsidP="002A6D87">
            <w:pPr>
              <w:jc w:val="both"/>
              <w:rPr>
                <w:sz w:val="22"/>
                <w:szCs w:val="22"/>
              </w:rPr>
            </w:pPr>
            <w:r w:rsidRPr="00A2172D">
              <w:rPr>
                <w:sz w:val="22"/>
                <w:szCs w:val="22"/>
              </w:rPr>
              <w:t xml:space="preserve">(EK 19.12.2013. vadlīniju  2.1.sadaļas </w:t>
            </w:r>
            <w:r>
              <w:rPr>
                <w:sz w:val="22"/>
                <w:szCs w:val="22"/>
              </w:rPr>
              <w:t>3</w:t>
            </w:r>
            <w:r w:rsidRPr="00A2172D">
              <w:rPr>
                <w:sz w:val="22"/>
                <w:szCs w:val="22"/>
              </w:rPr>
              <w:t>.punkts)</w:t>
            </w:r>
          </w:p>
          <w:p w14:paraId="1920A301" w14:textId="77777777" w:rsidR="002A6D87" w:rsidRDefault="002A6D87" w:rsidP="002A6D87">
            <w:pPr>
              <w:jc w:val="both"/>
              <w:rPr>
                <w:sz w:val="22"/>
                <w:szCs w:val="22"/>
              </w:rPr>
            </w:pPr>
          </w:p>
        </w:tc>
        <w:tc>
          <w:tcPr>
            <w:tcW w:w="2086" w:type="pct"/>
            <w:gridSpan w:val="2"/>
            <w:tcBorders>
              <w:bottom w:val="single" w:sz="4" w:space="0" w:color="auto"/>
            </w:tcBorders>
          </w:tcPr>
          <w:p w14:paraId="141A0A79" w14:textId="2EADEC21" w:rsidR="002A6D87" w:rsidRPr="00A71C6A" w:rsidRDefault="00DA30E8" w:rsidP="00B5085D">
            <w:pPr>
              <w:jc w:val="both"/>
              <w:rPr>
                <w:sz w:val="22"/>
                <w:szCs w:val="22"/>
              </w:rPr>
            </w:pPr>
            <w:r>
              <w:rPr>
                <w:sz w:val="22"/>
                <w:szCs w:val="22"/>
              </w:rPr>
              <w:t>T</w:t>
            </w:r>
            <w:r w:rsidRPr="00900A04">
              <w:rPr>
                <w:sz w:val="22"/>
                <w:szCs w:val="22"/>
              </w:rPr>
              <w:t xml:space="preserve">ermiņi </w:t>
            </w:r>
            <w:r w:rsidR="00B5085D" w:rsidRPr="00633F98">
              <w:rPr>
                <w:sz w:val="22"/>
                <w:szCs w:val="22"/>
              </w:rPr>
              <w:t xml:space="preserve">pieteikumu vai </w:t>
            </w:r>
            <w:r w:rsidRPr="00633F98">
              <w:rPr>
                <w:sz w:val="22"/>
                <w:szCs w:val="22"/>
              </w:rPr>
              <w:t>piedāvājumu iesniegšanai ir īsāki par termiņiem, kas noteikti nacionālajos normatīvajos aktos</w:t>
            </w:r>
            <w:r>
              <w:rPr>
                <w:sz w:val="22"/>
                <w:szCs w:val="22"/>
              </w:rPr>
              <w:t>.</w:t>
            </w:r>
          </w:p>
        </w:tc>
        <w:tc>
          <w:tcPr>
            <w:tcW w:w="912" w:type="pct"/>
            <w:tcBorders>
              <w:bottom w:val="single" w:sz="4" w:space="0" w:color="auto"/>
            </w:tcBorders>
          </w:tcPr>
          <w:p w14:paraId="3B2E3C10" w14:textId="77777777" w:rsidR="002A6D87" w:rsidRDefault="002A6D87" w:rsidP="002A6D87">
            <w:pPr>
              <w:jc w:val="both"/>
              <w:rPr>
                <w:sz w:val="22"/>
                <w:szCs w:val="22"/>
              </w:rPr>
            </w:pPr>
            <w:r>
              <w:rPr>
                <w:sz w:val="22"/>
                <w:szCs w:val="22"/>
              </w:rPr>
              <w:t>25%, ja termiņa samazinājums ir &gt;= 50%</w:t>
            </w:r>
          </w:p>
          <w:p w14:paraId="77C302BC" w14:textId="77777777" w:rsidR="002A6D87" w:rsidRDefault="002A6D87" w:rsidP="002A6D87">
            <w:pPr>
              <w:jc w:val="both"/>
              <w:rPr>
                <w:sz w:val="22"/>
                <w:szCs w:val="22"/>
              </w:rPr>
            </w:pPr>
          </w:p>
          <w:p w14:paraId="0F4CD232" w14:textId="164BC6FD" w:rsidR="002A6D87" w:rsidRDefault="002A6D87" w:rsidP="002A6D87">
            <w:pPr>
              <w:jc w:val="both"/>
              <w:rPr>
                <w:sz w:val="22"/>
                <w:szCs w:val="22"/>
              </w:rPr>
            </w:pPr>
            <w:r>
              <w:rPr>
                <w:sz w:val="22"/>
                <w:szCs w:val="22"/>
              </w:rPr>
              <w:t xml:space="preserve">10%, ja termiņa samazinājums ir &gt;= 30%, bet </w:t>
            </w:r>
            <w:r w:rsidR="00DA30E8">
              <w:rPr>
                <w:sz w:val="22"/>
                <w:szCs w:val="22"/>
              </w:rPr>
              <w:t xml:space="preserve">nesasniedz </w:t>
            </w:r>
            <w:r>
              <w:rPr>
                <w:sz w:val="22"/>
                <w:szCs w:val="22"/>
              </w:rPr>
              <w:t>50 %</w:t>
            </w:r>
          </w:p>
          <w:p w14:paraId="11289139" w14:textId="77777777" w:rsidR="002A6D87" w:rsidRDefault="002A6D87" w:rsidP="002A6D87">
            <w:pPr>
              <w:jc w:val="both"/>
              <w:rPr>
                <w:sz w:val="22"/>
                <w:szCs w:val="22"/>
              </w:rPr>
            </w:pPr>
          </w:p>
          <w:p w14:paraId="5C57EF01" w14:textId="77777777" w:rsidR="002A6D87" w:rsidRDefault="002A6D87" w:rsidP="002A6D87">
            <w:pPr>
              <w:jc w:val="both"/>
              <w:rPr>
                <w:sz w:val="22"/>
                <w:szCs w:val="22"/>
              </w:rPr>
            </w:pPr>
            <w:r>
              <w:rPr>
                <w:sz w:val="22"/>
                <w:szCs w:val="22"/>
              </w:rPr>
              <w:t>5%,  ja termiņa samazinājums ir &lt; 30%</w:t>
            </w:r>
          </w:p>
          <w:p w14:paraId="3478D527" w14:textId="77777777" w:rsidR="002A6D87" w:rsidRDefault="002A6D87" w:rsidP="002A6D87">
            <w:pPr>
              <w:jc w:val="both"/>
              <w:rPr>
                <w:sz w:val="22"/>
                <w:szCs w:val="22"/>
              </w:rPr>
            </w:pPr>
            <w:r>
              <w:rPr>
                <w:sz w:val="22"/>
                <w:szCs w:val="22"/>
              </w:rPr>
              <w:t xml:space="preserve">(šo korekciju ir iespējams </w:t>
            </w:r>
            <w:r w:rsidRPr="004E7745">
              <w:rPr>
                <w:sz w:val="22"/>
                <w:szCs w:val="22"/>
              </w:rPr>
              <w:t>samazināt uz 2%,</w:t>
            </w:r>
            <w:r>
              <w:rPr>
                <w:sz w:val="22"/>
                <w:szCs w:val="22"/>
              </w:rPr>
              <w:t xml:space="preserve"> ja neatbilstības būtiskums un raksturs nav samērojams ar 5% finanšu korekciju). </w:t>
            </w:r>
          </w:p>
          <w:p w14:paraId="461084C5" w14:textId="77777777" w:rsidR="002A6D87" w:rsidRPr="00565AD8" w:rsidRDefault="002A6D87" w:rsidP="002A6D87">
            <w:pPr>
              <w:jc w:val="both"/>
              <w:rPr>
                <w:sz w:val="22"/>
                <w:szCs w:val="22"/>
              </w:rPr>
            </w:pPr>
          </w:p>
        </w:tc>
      </w:tr>
      <w:tr w:rsidR="00BC67E8" w:rsidRPr="009D07C7" w14:paraId="4CA33AE6" w14:textId="77777777" w:rsidTr="00A72AA2">
        <w:trPr>
          <w:trHeight w:val="332"/>
        </w:trPr>
        <w:tc>
          <w:tcPr>
            <w:tcW w:w="276" w:type="pct"/>
            <w:tcBorders>
              <w:bottom w:val="single" w:sz="4" w:space="0" w:color="auto"/>
            </w:tcBorders>
          </w:tcPr>
          <w:p w14:paraId="3F30AB67" w14:textId="77777777" w:rsidR="00BC67E8" w:rsidRPr="009D07C7" w:rsidRDefault="00BC67E8" w:rsidP="00BC67E8">
            <w:pPr>
              <w:numPr>
                <w:ilvl w:val="0"/>
                <w:numId w:val="1"/>
              </w:numPr>
              <w:rPr>
                <w:sz w:val="22"/>
                <w:szCs w:val="22"/>
              </w:rPr>
            </w:pPr>
          </w:p>
        </w:tc>
        <w:tc>
          <w:tcPr>
            <w:tcW w:w="1726" w:type="pct"/>
            <w:tcBorders>
              <w:bottom w:val="single" w:sz="4" w:space="0" w:color="auto"/>
            </w:tcBorders>
          </w:tcPr>
          <w:p w14:paraId="395A5D13" w14:textId="77777777" w:rsidR="00BC67E8" w:rsidRDefault="00BC67E8" w:rsidP="00BC67E8">
            <w:pPr>
              <w:jc w:val="both"/>
              <w:rPr>
                <w:sz w:val="22"/>
                <w:szCs w:val="22"/>
              </w:rPr>
            </w:pPr>
            <w:r w:rsidRPr="00225303">
              <w:rPr>
                <w:sz w:val="22"/>
                <w:szCs w:val="22"/>
              </w:rPr>
              <w:t xml:space="preserve">Nepietiekams laiks </w:t>
            </w:r>
            <w:r>
              <w:rPr>
                <w:sz w:val="22"/>
                <w:szCs w:val="22"/>
              </w:rPr>
              <w:t>ieinteresētajiem piegādātājiem, lai iegūtu iepirkuma</w:t>
            </w:r>
            <w:r w:rsidRPr="00225303">
              <w:rPr>
                <w:sz w:val="22"/>
                <w:szCs w:val="22"/>
              </w:rPr>
              <w:t xml:space="preserve"> dokumentācij</w:t>
            </w:r>
            <w:r>
              <w:rPr>
                <w:sz w:val="22"/>
                <w:szCs w:val="22"/>
              </w:rPr>
              <w:t>u</w:t>
            </w:r>
          </w:p>
          <w:p w14:paraId="5AB16962" w14:textId="77777777" w:rsidR="00BC67E8" w:rsidRDefault="00BC67E8" w:rsidP="00BC67E8">
            <w:pPr>
              <w:jc w:val="both"/>
              <w:rPr>
                <w:sz w:val="22"/>
                <w:szCs w:val="22"/>
              </w:rPr>
            </w:pPr>
          </w:p>
          <w:p w14:paraId="6324B961" w14:textId="77777777" w:rsidR="00BC67E8" w:rsidRDefault="00BC67E8" w:rsidP="00BC67E8">
            <w:pPr>
              <w:jc w:val="both"/>
              <w:rPr>
                <w:i/>
                <w:sz w:val="22"/>
                <w:szCs w:val="22"/>
              </w:rPr>
            </w:pPr>
            <w:r w:rsidRPr="002C70FE">
              <w:rPr>
                <w:i/>
                <w:sz w:val="22"/>
                <w:szCs w:val="22"/>
              </w:rPr>
              <w:t>Direktīvas Nr.2014/24/ES 53.pants</w:t>
            </w:r>
          </w:p>
          <w:p w14:paraId="12E8A3D8" w14:textId="77777777" w:rsidR="00BC67E8" w:rsidRDefault="00BC67E8" w:rsidP="00BC67E8">
            <w:pPr>
              <w:jc w:val="both"/>
              <w:rPr>
                <w:i/>
                <w:sz w:val="22"/>
                <w:szCs w:val="22"/>
              </w:rPr>
            </w:pPr>
            <w:r w:rsidRPr="008A18C4">
              <w:rPr>
                <w:i/>
                <w:sz w:val="22"/>
                <w:szCs w:val="22"/>
              </w:rPr>
              <w:t>Direktīva</w:t>
            </w:r>
            <w:r>
              <w:rPr>
                <w:i/>
                <w:sz w:val="22"/>
                <w:szCs w:val="22"/>
              </w:rPr>
              <w:t>s Nr.</w:t>
            </w:r>
            <w:r w:rsidRPr="008A18C4">
              <w:rPr>
                <w:i/>
                <w:sz w:val="22"/>
                <w:szCs w:val="22"/>
              </w:rPr>
              <w:t>2014/</w:t>
            </w:r>
            <w:r w:rsidRPr="00F9620D">
              <w:rPr>
                <w:i/>
                <w:sz w:val="22"/>
                <w:szCs w:val="22"/>
              </w:rPr>
              <w:t>25</w:t>
            </w:r>
            <w:r w:rsidRPr="008A18C4">
              <w:rPr>
                <w:i/>
                <w:sz w:val="22"/>
                <w:szCs w:val="22"/>
              </w:rPr>
              <w:t>/ES</w:t>
            </w:r>
            <w:r>
              <w:rPr>
                <w:i/>
                <w:sz w:val="22"/>
                <w:szCs w:val="22"/>
              </w:rPr>
              <w:t xml:space="preserve"> </w:t>
            </w:r>
            <w:r w:rsidRPr="00F9620D">
              <w:rPr>
                <w:i/>
                <w:sz w:val="22"/>
                <w:szCs w:val="22"/>
              </w:rPr>
              <w:t>45.-49.pants, 66.pants</w:t>
            </w:r>
          </w:p>
          <w:p w14:paraId="01E254A3" w14:textId="77777777" w:rsidR="00BC67E8" w:rsidRDefault="00BC67E8" w:rsidP="00BC67E8">
            <w:pPr>
              <w:jc w:val="both"/>
              <w:rPr>
                <w:i/>
                <w:sz w:val="22"/>
                <w:szCs w:val="22"/>
              </w:rPr>
            </w:pPr>
          </w:p>
          <w:p w14:paraId="492C52D4" w14:textId="62D5A969" w:rsidR="00BC67E8" w:rsidRDefault="00BC67E8" w:rsidP="00BC67E8">
            <w:pPr>
              <w:jc w:val="both"/>
              <w:rPr>
                <w:sz w:val="22"/>
                <w:szCs w:val="22"/>
              </w:rPr>
            </w:pPr>
            <w:r w:rsidRPr="00A2172D">
              <w:rPr>
                <w:sz w:val="22"/>
                <w:szCs w:val="22"/>
              </w:rPr>
              <w:t xml:space="preserve">(EK 19.12.2013. vadlīniju  2.1.sadaļas </w:t>
            </w:r>
            <w:r>
              <w:rPr>
                <w:sz w:val="22"/>
                <w:szCs w:val="22"/>
              </w:rPr>
              <w:t>4</w:t>
            </w:r>
            <w:r w:rsidRPr="00A2172D">
              <w:rPr>
                <w:sz w:val="22"/>
                <w:szCs w:val="22"/>
              </w:rPr>
              <w:t>.punkts)</w:t>
            </w:r>
          </w:p>
        </w:tc>
        <w:tc>
          <w:tcPr>
            <w:tcW w:w="2086" w:type="pct"/>
            <w:gridSpan w:val="2"/>
            <w:tcBorders>
              <w:bottom w:val="single" w:sz="4" w:space="0" w:color="auto"/>
            </w:tcBorders>
          </w:tcPr>
          <w:p w14:paraId="69140E39" w14:textId="77777777" w:rsidR="00BC67E8" w:rsidRPr="00A72AA2" w:rsidRDefault="00BC67E8" w:rsidP="00BC67E8">
            <w:pPr>
              <w:jc w:val="both"/>
              <w:rPr>
                <w:sz w:val="22"/>
                <w:szCs w:val="22"/>
              </w:rPr>
            </w:pPr>
            <w:r w:rsidRPr="00A72AA2">
              <w:rPr>
                <w:sz w:val="22"/>
                <w:szCs w:val="22"/>
              </w:rPr>
              <w:t xml:space="preserve">Laiks iepirkuma dokumentācijas iegūšanai ir pārāk īss, tādējādi radot nepamatotus šķēršļus konkurencei publiskajā iepirkumā. </w:t>
            </w:r>
          </w:p>
          <w:p w14:paraId="41727D8B" w14:textId="77777777" w:rsidR="00BC67E8" w:rsidRPr="00A72AA2" w:rsidRDefault="00BC67E8" w:rsidP="00BC67E8">
            <w:pPr>
              <w:jc w:val="both"/>
              <w:rPr>
                <w:sz w:val="22"/>
                <w:szCs w:val="22"/>
              </w:rPr>
            </w:pPr>
          </w:p>
          <w:p w14:paraId="447262A3" w14:textId="6047195B" w:rsidR="00BC67E8" w:rsidRPr="00A72AA2" w:rsidRDefault="00BC67E8" w:rsidP="00BC67E8">
            <w:pPr>
              <w:jc w:val="both"/>
              <w:rPr>
                <w:sz w:val="22"/>
                <w:szCs w:val="22"/>
              </w:rPr>
            </w:pPr>
            <w:r w:rsidRPr="00A72AA2">
              <w:rPr>
                <w:sz w:val="22"/>
                <w:szCs w:val="22"/>
              </w:rPr>
              <w:t xml:space="preserve">Nosakot finanšu korekciju, vērā tiek ņemti tādi mīkstinoši apstākļi, kā līguma sarežģītība un specifika, īpaši iespējamais administratīvais slogs un grūtības, nodrošinot iepirkuma dokumentāciju. </w:t>
            </w:r>
          </w:p>
        </w:tc>
        <w:tc>
          <w:tcPr>
            <w:tcW w:w="912" w:type="pct"/>
            <w:tcBorders>
              <w:bottom w:val="single" w:sz="4" w:space="0" w:color="auto"/>
            </w:tcBorders>
            <w:shd w:val="clear" w:color="auto" w:fill="auto"/>
          </w:tcPr>
          <w:p w14:paraId="10A11D3E" w14:textId="77777777" w:rsidR="009A0DBC" w:rsidRPr="00A72AA2" w:rsidRDefault="009A0DBC" w:rsidP="009A0DBC">
            <w:pPr>
              <w:jc w:val="both"/>
              <w:rPr>
                <w:sz w:val="22"/>
                <w:szCs w:val="22"/>
              </w:rPr>
            </w:pPr>
            <w:r w:rsidRPr="00A72AA2">
              <w:rPr>
                <w:sz w:val="22"/>
                <w:szCs w:val="22"/>
              </w:rPr>
              <w:t xml:space="preserve">25%, ja laiks, kad ieinteresētajiem piegādātājiem ir jāiegūst </w:t>
            </w:r>
            <w:r w:rsidRPr="00A72AA2">
              <w:rPr>
                <w:sz w:val="22"/>
                <w:szCs w:val="22"/>
              </w:rPr>
              <w:br/>
              <w:t xml:space="preserve">iepirkuma dokumentācija ir mazāks nekā </w:t>
            </w:r>
            <w:r w:rsidRPr="00A72AA2">
              <w:rPr>
                <w:sz w:val="22"/>
                <w:szCs w:val="22"/>
              </w:rPr>
              <w:br/>
              <w:t xml:space="preserve">50% no laika ierobežojuma piedāvājuma iesniegšanai (saskaņā ar attiecīgajiem </w:t>
            </w:r>
            <w:r w:rsidRPr="00A72AA2">
              <w:rPr>
                <w:sz w:val="22"/>
                <w:szCs w:val="22"/>
              </w:rPr>
              <w:br/>
              <w:t>noteikumiem).</w:t>
            </w:r>
          </w:p>
          <w:p w14:paraId="0FEB8ECC" w14:textId="77777777" w:rsidR="009A0DBC" w:rsidRPr="00A72AA2" w:rsidRDefault="009A0DBC" w:rsidP="009A0DBC">
            <w:pPr>
              <w:jc w:val="both"/>
              <w:rPr>
                <w:sz w:val="22"/>
                <w:szCs w:val="22"/>
              </w:rPr>
            </w:pPr>
          </w:p>
          <w:p w14:paraId="5AD1CF38" w14:textId="77777777" w:rsidR="009A0DBC" w:rsidRPr="00A72AA2" w:rsidRDefault="009A0DBC" w:rsidP="009A0DBC">
            <w:pPr>
              <w:jc w:val="both"/>
              <w:rPr>
                <w:sz w:val="22"/>
                <w:szCs w:val="22"/>
              </w:rPr>
            </w:pPr>
            <w:r w:rsidRPr="00A72AA2">
              <w:rPr>
                <w:sz w:val="22"/>
                <w:szCs w:val="22"/>
              </w:rPr>
              <w:t xml:space="preserve">10%, ja laiks, kad ieinteresētajiem piegādātājiem ir jāiegūst </w:t>
            </w:r>
            <w:r w:rsidRPr="00A72AA2">
              <w:rPr>
                <w:sz w:val="22"/>
                <w:szCs w:val="22"/>
              </w:rPr>
              <w:br/>
              <w:t xml:space="preserve">iepirkuma dokumentācija ir mazāks nekā 60% no laika ierobežojuma piedāvājuma iesniegšanai (saskaņā ar attiecīgajiem </w:t>
            </w:r>
            <w:r w:rsidRPr="00A72AA2">
              <w:rPr>
                <w:sz w:val="22"/>
                <w:szCs w:val="22"/>
              </w:rPr>
              <w:br/>
              <w:t>noteikumiem).</w:t>
            </w:r>
          </w:p>
          <w:p w14:paraId="3E079081" w14:textId="77777777" w:rsidR="009A0DBC" w:rsidRPr="00A72AA2" w:rsidRDefault="009A0DBC" w:rsidP="009A0DBC">
            <w:pPr>
              <w:jc w:val="both"/>
              <w:rPr>
                <w:sz w:val="22"/>
                <w:szCs w:val="22"/>
              </w:rPr>
            </w:pPr>
          </w:p>
          <w:p w14:paraId="733ED5F6" w14:textId="433F73B0" w:rsidR="009A0DBC" w:rsidRPr="00A72AA2" w:rsidRDefault="009A0DBC" w:rsidP="009A0DBC">
            <w:pPr>
              <w:jc w:val="both"/>
              <w:rPr>
                <w:sz w:val="22"/>
                <w:szCs w:val="22"/>
              </w:rPr>
            </w:pPr>
            <w:r w:rsidRPr="00A72AA2">
              <w:rPr>
                <w:sz w:val="22"/>
                <w:szCs w:val="22"/>
              </w:rPr>
              <w:t xml:space="preserve">5%, ja laiks, kad ieinteresētajiem piegādātājiem ir jāiegūst </w:t>
            </w:r>
            <w:r w:rsidRPr="00A72AA2">
              <w:rPr>
                <w:sz w:val="22"/>
                <w:szCs w:val="22"/>
              </w:rPr>
              <w:br/>
              <w:t xml:space="preserve">iepirkuma dokumentācija ir mazāks nekā </w:t>
            </w:r>
            <w:r w:rsidRPr="00A72AA2">
              <w:rPr>
                <w:sz w:val="22"/>
                <w:szCs w:val="22"/>
              </w:rPr>
              <w:br/>
              <w:t xml:space="preserve">80% no laika ierobežojuma piedāvājuma iesniegšanai (saskaņā ar attiecīgajiem </w:t>
            </w:r>
            <w:r w:rsidRPr="00A72AA2">
              <w:rPr>
                <w:sz w:val="22"/>
                <w:szCs w:val="22"/>
              </w:rPr>
              <w:br/>
              <w:t>noteikumiem).</w:t>
            </w:r>
          </w:p>
        </w:tc>
      </w:tr>
      <w:tr w:rsidR="002A6D87" w:rsidRPr="009D07C7" w14:paraId="6E925E9E" w14:textId="77777777" w:rsidTr="00952CF5">
        <w:trPr>
          <w:trHeight w:val="332"/>
        </w:trPr>
        <w:tc>
          <w:tcPr>
            <w:tcW w:w="276" w:type="pct"/>
            <w:tcBorders>
              <w:bottom w:val="single" w:sz="4" w:space="0" w:color="auto"/>
            </w:tcBorders>
          </w:tcPr>
          <w:p w14:paraId="79072BE8" w14:textId="77777777" w:rsidR="002A6D87" w:rsidRPr="009D07C7" w:rsidRDefault="002A6D87" w:rsidP="002A6D87">
            <w:pPr>
              <w:numPr>
                <w:ilvl w:val="0"/>
                <w:numId w:val="1"/>
              </w:numPr>
              <w:rPr>
                <w:sz w:val="22"/>
                <w:szCs w:val="22"/>
              </w:rPr>
            </w:pPr>
          </w:p>
        </w:tc>
        <w:tc>
          <w:tcPr>
            <w:tcW w:w="1726" w:type="pct"/>
            <w:tcBorders>
              <w:bottom w:val="single" w:sz="4" w:space="0" w:color="auto"/>
            </w:tcBorders>
            <w:vAlign w:val="center"/>
          </w:tcPr>
          <w:p w14:paraId="726C20E9" w14:textId="77777777" w:rsidR="009546AA" w:rsidRPr="009546AA" w:rsidRDefault="009546AA" w:rsidP="009546AA">
            <w:pPr>
              <w:jc w:val="both"/>
              <w:rPr>
                <w:sz w:val="22"/>
                <w:szCs w:val="22"/>
              </w:rPr>
            </w:pPr>
            <w:r w:rsidRPr="009546AA">
              <w:rPr>
                <w:sz w:val="22"/>
                <w:szCs w:val="22"/>
              </w:rPr>
              <w:t xml:space="preserve">Nav nodrošināta informācijas par piedāvājuma vai pieteikumu iesniegšanas termiņa pagarināšanu publicēšana </w:t>
            </w:r>
          </w:p>
          <w:p w14:paraId="6EDFA243" w14:textId="77777777" w:rsidR="002A6D87" w:rsidRPr="007A6537" w:rsidRDefault="002A6D87" w:rsidP="002A6D87">
            <w:pPr>
              <w:jc w:val="both"/>
              <w:rPr>
                <w:sz w:val="22"/>
                <w:szCs w:val="22"/>
              </w:rPr>
            </w:pPr>
          </w:p>
          <w:p w14:paraId="1460C5C0" w14:textId="77777777" w:rsidR="002A6D87" w:rsidRDefault="002A6D87" w:rsidP="002A6D87">
            <w:pPr>
              <w:jc w:val="both"/>
              <w:rPr>
                <w:i/>
                <w:sz w:val="22"/>
                <w:szCs w:val="22"/>
              </w:rPr>
            </w:pPr>
            <w:r w:rsidRPr="006163DC">
              <w:rPr>
                <w:i/>
                <w:sz w:val="22"/>
                <w:szCs w:val="22"/>
              </w:rPr>
              <w:t>Direktīvas Nr.</w:t>
            </w:r>
            <w:r>
              <w:rPr>
                <w:i/>
                <w:sz w:val="22"/>
                <w:szCs w:val="22"/>
              </w:rPr>
              <w:t>2014/24/ES 18(1).pants, 47(2).-47(3).pants</w:t>
            </w:r>
          </w:p>
          <w:p w14:paraId="5F8F0F52" w14:textId="77777777" w:rsidR="002A6D87" w:rsidRDefault="002A6D87" w:rsidP="002A6D87">
            <w:pPr>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36(1).pants,66(2).pants un 66(3).pants</w:t>
            </w:r>
          </w:p>
          <w:p w14:paraId="0E4B9BF4" w14:textId="77777777" w:rsidR="002A6D87" w:rsidRDefault="002A6D87" w:rsidP="002A6D87">
            <w:pPr>
              <w:jc w:val="both"/>
              <w:rPr>
                <w:i/>
                <w:sz w:val="22"/>
                <w:szCs w:val="22"/>
              </w:rPr>
            </w:pPr>
          </w:p>
          <w:p w14:paraId="232C6655" w14:textId="05AA86FB" w:rsidR="002A6D87" w:rsidRPr="00225303" w:rsidRDefault="002A6D87" w:rsidP="002A6D87">
            <w:pPr>
              <w:jc w:val="both"/>
              <w:rPr>
                <w:sz w:val="22"/>
                <w:szCs w:val="22"/>
              </w:rPr>
            </w:pPr>
            <w:r w:rsidRPr="00A2172D">
              <w:rPr>
                <w:sz w:val="22"/>
                <w:szCs w:val="22"/>
              </w:rPr>
              <w:t>(EK 19.12.2013. vadlīniju  2.1.sadaļas 5.punkts)</w:t>
            </w:r>
          </w:p>
        </w:tc>
        <w:tc>
          <w:tcPr>
            <w:tcW w:w="2086" w:type="pct"/>
            <w:gridSpan w:val="2"/>
            <w:tcBorders>
              <w:bottom w:val="single" w:sz="4" w:space="0" w:color="auto"/>
            </w:tcBorders>
          </w:tcPr>
          <w:p w14:paraId="795E98E0" w14:textId="138B0745" w:rsidR="002A6D87" w:rsidRDefault="002A6D87" w:rsidP="009546AA">
            <w:pPr>
              <w:jc w:val="both"/>
              <w:rPr>
                <w:sz w:val="22"/>
                <w:szCs w:val="22"/>
              </w:rPr>
            </w:pPr>
            <w:r w:rsidRPr="007637DC">
              <w:rPr>
                <w:sz w:val="22"/>
                <w:szCs w:val="22"/>
              </w:rPr>
              <w:t>Termiņ</w:t>
            </w:r>
            <w:r>
              <w:rPr>
                <w:sz w:val="22"/>
                <w:szCs w:val="22"/>
              </w:rPr>
              <w:t>i</w:t>
            </w:r>
            <w:r w:rsidRPr="007637DC">
              <w:rPr>
                <w:sz w:val="22"/>
                <w:szCs w:val="22"/>
              </w:rPr>
              <w:t xml:space="preserve">, kas </w:t>
            </w:r>
            <w:r>
              <w:rPr>
                <w:sz w:val="22"/>
                <w:szCs w:val="22"/>
              </w:rPr>
              <w:t xml:space="preserve">paredzēti </w:t>
            </w:r>
            <w:r w:rsidRPr="007637DC">
              <w:rPr>
                <w:sz w:val="22"/>
                <w:szCs w:val="22"/>
              </w:rPr>
              <w:t xml:space="preserve">piedāvājumu vai </w:t>
            </w:r>
            <w:r>
              <w:rPr>
                <w:sz w:val="22"/>
                <w:szCs w:val="22"/>
              </w:rPr>
              <w:t xml:space="preserve">pieteikumu </w:t>
            </w:r>
            <w:r w:rsidR="009546AA">
              <w:rPr>
                <w:sz w:val="22"/>
                <w:szCs w:val="22"/>
              </w:rPr>
              <w:t xml:space="preserve">iesniegšanai </w:t>
            </w:r>
            <w:r w:rsidRPr="007637DC">
              <w:rPr>
                <w:sz w:val="22"/>
                <w:szCs w:val="22"/>
              </w:rPr>
              <w:t>tika pagarināt</w:t>
            </w:r>
            <w:r>
              <w:rPr>
                <w:sz w:val="22"/>
                <w:szCs w:val="22"/>
              </w:rPr>
              <w:t>i</w:t>
            </w:r>
            <w:r w:rsidRPr="007637DC">
              <w:rPr>
                <w:sz w:val="22"/>
                <w:szCs w:val="22"/>
              </w:rPr>
              <w:t xml:space="preserve"> bez publicēšanas </w:t>
            </w:r>
            <w:r w:rsidRPr="007637DC">
              <w:rPr>
                <w:sz w:val="22"/>
                <w:szCs w:val="22"/>
              </w:rPr>
              <w:br/>
              <w:t>saskaņā ar attiecīgajiem</w:t>
            </w:r>
            <w:r>
              <w:rPr>
                <w:sz w:val="22"/>
                <w:szCs w:val="22"/>
              </w:rPr>
              <w:t xml:space="preserve"> nacionālajiem normatīvajiem aktiem</w:t>
            </w:r>
            <w:r w:rsidRPr="007637DC">
              <w:rPr>
                <w:sz w:val="22"/>
                <w:szCs w:val="22"/>
              </w:rPr>
              <w:t>.</w:t>
            </w:r>
          </w:p>
        </w:tc>
        <w:tc>
          <w:tcPr>
            <w:tcW w:w="912" w:type="pct"/>
            <w:tcBorders>
              <w:bottom w:val="single" w:sz="4" w:space="0" w:color="auto"/>
            </w:tcBorders>
            <w:vAlign w:val="center"/>
          </w:tcPr>
          <w:p w14:paraId="48323324" w14:textId="77777777" w:rsidR="002A6D87" w:rsidRDefault="002A6D87" w:rsidP="002A6D87">
            <w:pPr>
              <w:jc w:val="both"/>
              <w:rPr>
                <w:sz w:val="22"/>
                <w:szCs w:val="22"/>
              </w:rPr>
            </w:pPr>
            <w:r>
              <w:rPr>
                <w:sz w:val="22"/>
                <w:szCs w:val="22"/>
              </w:rPr>
              <w:t>10%</w:t>
            </w:r>
          </w:p>
          <w:p w14:paraId="48E0CA6A" w14:textId="77777777" w:rsidR="002A6D87" w:rsidRDefault="002A6D87" w:rsidP="002A6D87">
            <w:pPr>
              <w:jc w:val="both"/>
              <w:rPr>
                <w:sz w:val="22"/>
                <w:szCs w:val="22"/>
              </w:rPr>
            </w:pPr>
          </w:p>
          <w:p w14:paraId="72C21248" w14:textId="77777777" w:rsidR="002A6D87" w:rsidRDefault="002A6D87" w:rsidP="002A6D87">
            <w:pPr>
              <w:jc w:val="both"/>
              <w:rPr>
                <w:sz w:val="22"/>
                <w:szCs w:val="22"/>
              </w:rPr>
            </w:pPr>
            <w:r>
              <w:rPr>
                <w:sz w:val="22"/>
                <w:szCs w:val="22"/>
              </w:rPr>
              <w:t>V</w:t>
            </w:r>
            <w:r w:rsidRPr="00565AD8">
              <w:rPr>
                <w:sz w:val="22"/>
                <w:szCs w:val="22"/>
              </w:rPr>
              <w:t xml:space="preserve">ar samazināt uz </w:t>
            </w:r>
            <w:r>
              <w:rPr>
                <w:sz w:val="22"/>
                <w:szCs w:val="22"/>
              </w:rPr>
              <w:t>5%</w:t>
            </w:r>
            <w:r w:rsidRPr="00565AD8">
              <w:rPr>
                <w:sz w:val="22"/>
                <w:szCs w:val="22"/>
              </w:rPr>
              <w:t xml:space="preserve">, atkarībā no </w:t>
            </w:r>
            <w:r>
              <w:rPr>
                <w:sz w:val="22"/>
                <w:szCs w:val="22"/>
              </w:rPr>
              <w:t>pārkāpuma būtiskuma.</w:t>
            </w:r>
          </w:p>
          <w:p w14:paraId="1A4442D4" w14:textId="77777777" w:rsidR="002A6D87" w:rsidRDefault="002A6D87" w:rsidP="002A6D87">
            <w:pPr>
              <w:rPr>
                <w:sz w:val="22"/>
                <w:szCs w:val="22"/>
              </w:rPr>
            </w:pPr>
          </w:p>
          <w:p w14:paraId="47C47D6E" w14:textId="77777777" w:rsidR="002A6D87" w:rsidRPr="00BB4967" w:rsidRDefault="002A6D87" w:rsidP="002A6D87">
            <w:pPr>
              <w:rPr>
                <w:sz w:val="22"/>
                <w:szCs w:val="22"/>
              </w:rPr>
            </w:pPr>
          </w:p>
          <w:p w14:paraId="580CCA90" w14:textId="77777777" w:rsidR="002A6D87" w:rsidRPr="00BB4967" w:rsidRDefault="002A6D87" w:rsidP="002A6D87">
            <w:pPr>
              <w:rPr>
                <w:sz w:val="22"/>
                <w:szCs w:val="22"/>
              </w:rPr>
            </w:pPr>
          </w:p>
          <w:p w14:paraId="3D1BCCF3" w14:textId="77777777" w:rsidR="002A6D87" w:rsidRPr="00BF283B" w:rsidRDefault="002A6D87" w:rsidP="002A6D87">
            <w:pPr>
              <w:jc w:val="both"/>
              <w:rPr>
                <w:sz w:val="22"/>
                <w:szCs w:val="22"/>
              </w:rPr>
            </w:pPr>
          </w:p>
        </w:tc>
      </w:tr>
      <w:tr w:rsidR="00E15D67" w:rsidRPr="009D07C7" w14:paraId="352320CF" w14:textId="77777777" w:rsidTr="00952CF5">
        <w:trPr>
          <w:trHeight w:val="332"/>
        </w:trPr>
        <w:tc>
          <w:tcPr>
            <w:tcW w:w="276" w:type="pct"/>
            <w:tcBorders>
              <w:bottom w:val="single" w:sz="4" w:space="0" w:color="auto"/>
            </w:tcBorders>
          </w:tcPr>
          <w:p w14:paraId="62EAC939" w14:textId="77777777" w:rsidR="00E15D67" w:rsidRPr="009D07C7" w:rsidRDefault="00E15D67" w:rsidP="00E15D67">
            <w:pPr>
              <w:numPr>
                <w:ilvl w:val="0"/>
                <w:numId w:val="1"/>
              </w:numPr>
              <w:rPr>
                <w:sz w:val="22"/>
                <w:szCs w:val="22"/>
              </w:rPr>
            </w:pPr>
          </w:p>
        </w:tc>
        <w:tc>
          <w:tcPr>
            <w:tcW w:w="1726" w:type="pct"/>
            <w:tcBorders>
              <w:bottom w:val="single" w:sz="4" w:space="0" w:color="auto"/>
            </w:tcBorders>
          </w:tcPr>
          <w:p w14:paraId="65E9F1AD" w14:textId="43434996" w:rsidR="00E15D67" w:rsidRPr="006747D7" w:rsidRDefault="00E15D67" w:rsidP="00E15D67">
            <w:pPr>
              <w:jc w:val="both"/>
              <w:rPr>
                <w:sz w:val="22"/>
                <w:szCs w:val="22"/>
              </w:rPr>
            </w:pPr>
            <w:r w:rsidRPr="006747D7">
              <w:rPr>
                <w:sz w:val="22"/>
                <w:szCs w:val="22"/>
              </w:rPr>
              <w:t>Gadījums, kad nepamatoti veikta</w:t>
            </w:r>
            <w:r w:rsidRPr="006747D7">
              <w:rPr>
                <w:b/>
                <w:color w:val="FF0000"/>
                <w:sz w:val="21"/>
                <w:szCs w:val="21"/>
              </w:rPr>
              <w:t xml:space="preserve"> </w:t>
            </w:r>
            <w:r w:rsidRPr="006747D7">
              <w:rPr>
                <w:sz w:val="21"/>
                <w:szCs w:val="21"/>
              </w:rPr>
              <w:t>konkursa procedūra ar sarunām vai konkursa dialogs</w:t>
            </w:r>
            <w:r w:rsidR="006747D7" w:rsidRPr="006747D7">
              <w:rPr>
                <w:sz w:val="21"/>
                <w:szCs w:val="21"/>
              </w:rPr>
              <w:t>,</w:t>
            </w:r>
            <w:r w:rsidR="009A0DBC" w:rsidRPr="006747D7">
              <w:rPr>
                <w:sz w:val="22"/>
                <w:szCs w:val="22"/>
              </w:rPr>
              <w:t xml:space="preserve"> </w:t>
            </w:r>
            <w:r w:rsidR="006747D7" w:rsidRPr="006747D7">
              <w:rPr>
                <w:sz w:val="22"/>
                <w:szCs w:val="22"/>
              </w:rPr>
              <w:t xml:space="preserve">vai </w:t>
            </w:r>
            <w:r w:rsidR="006747D7" w:rsidRPr="006747D7">
              <w:t>sarunu procedūra</w:t>
            </w:r>
          </w:p>
          <w:p w14:paraId="608ADC18" w14:textId="77777777" w:rsidR="009A0DBC" w:rsidRPr="006747D7" w:rsidRDefault="009A0DBC" w:rsidP="00E15D67">
            <w:pPr>
              <w:jc w:val="both"/>
              <w:rPr>
                <w:sz w:val="22"/>
                <w:szCs w:val="22"/>
              </w:rPr>
            </w:pPr>
          </w:p>
          <w:p w14:paraId="5AE96572" w14:textId="77777777" w:rsidR="00E15D67" w:rsidRPr="006747D7" w:rsidRDefault="00E15D67" w:rsidP="00E15D67">
            <w:pPr>
              <w:jc w:val="both"/>
              <w:rPr>
                <w:i/>
                <w:sz w:val="22"/>
                <w:szCs w:val="22"/>
              </w:rPr>
            </w:pPr>
            <w:r w:rsidRPr="006747D7">
              <w:rPr>
                <w:i/>
                <w:sz w:val="22"/>
                <w:szCs w:val="22"/>
              </w:rPr>
              <w:t>Direktīvas Nr.2014/24/ES 26(4).pants</w:t>
            </w:r>
          </w:p>
          <w:p w14:paraId="46E599F6" w14:textId="77777777" w:rsidR="00E15D67" w:rsidRPr="006747D7" w:rsidRDefault="00E15D67" w:rsidP="00E15D67">
            <w:pPr>
              <w:jc w:val="both"/>
              <w:rPr>
                <w:i/>
                <w:sz w:val="22"/>
                <w:szCs w:val="22"/>
              </w:rPr>
            </w:pPr>
          </w:p>
          <w:p w14:paraId="64366B91" w14:textId="71503A25" w:rsidR="00E15D67" w:rsidRPr="006747D7" w:rsidRDefault="00E15D67" w:rsidP="00E15D67">
            <w:pPr>
              <w:jc w:val="both"/>
              <w:rPr>
                <w:sz w:val="22"/>
                <w:szCs w:val="22"/>
              </w:rPr>
            </w:pPr>
            <w:r w:rsidRPr="006747D7">
              <w:rPr>
                <w:sz w:val="22"/>
                <w:szCs w:val="22"/>
              </w:rPr>
              <w:t>(EK 19.12.2013. vadlīniju  2.1.sadaļas 6.punkts)</w:t>
            </w:r>
          </w:p>
        </w:tc>
        <w:tc>
          <w:tcPr>
            <w:tcW w:w="2086" w:type="pct"/>
            <w:gridSpan w:val="2"/>
            <w:tcBorders>
              <w:bottom w:val="single" w:sz="4" w:space="0" w:color="auto"/>
            </w:tcBorders>
            <w:vAlign w:val="center"/>
          </w:tcPr>
          <w:p w14:paraId="6CDFF962" w14:textId="77777777" w:rsidR="006747D7" w:rsidRPr="006747D7" w:rsidRDefault="00E15D67" w:rsidP="00E15D67">
            <w:pPr>
              <w:jc w:val="both"/>
              <w:rPr>
                <w:sz w:val="22"/>
                <w:szCs w:val="22"/>
              </w:rPr>
            </w:pPr>
            <w:r w:rsidRPr="006747D7">
              <w:rPr>
                <w:sz w:val="22"/>
                <w:szCs w:val="22"/>
              </w:rPr>
              <w:t>Pasūtītājs piemēro konkursa procedūru ar sarunām vai konkursa dialogu</w:t>
            </w:r>
            <w:r w:rsidR="006747D7" w:rsidRPr="006747D7">
              <w:rPr>
                <w:sz w:val="22"/>
                <w:szCs w:val="22"/>
              </w:rPr>
              <w:t xml:space="preserve">, vai </w:t>
            </w:r>
            <w:r w:rsidR="006747D7" w:rsidRPr="006747D7">
              <w:t>sarunu procedūru</w:t>
            </w:r>
            <w:r w:rsidRPr="006747D7">
              <w:rPr>
                <w:sz w:val="22"/>
                <w:szCs w:val="22"/>
              </w:rPr>
              <w:t>, bet šāda procedūra nav pamatojama ar attiecīgajiem noteikumiem.</w:t>
            </w:r>
          </w:p>
          <w:p w14:paraId="16C98E0B" w14:textId="6E84849A" w:rsidR="00E15D67" w:rsidRPr="006747D7" w:rsidRDefault="00E15D67" w:rsidP="00E15D67">
            <w:pPr>
              <w:jc w:val="both"/>
              <w:rPr>
                <w:sz w:val="22"/>
                <w:szCs w:val="22"/>
              </w:rPr>
            </w:pPr>
            <w:r w:rsidRPr="006747D7">
              <w:rPr>
                <w:rStyle w:val="hps"/>
                <w:rFonts w:ascii="Arial" w:hAnsi="Arial" w:cs="Arial"/>
                <w:color w:val="222222"/>
                <w:sz w:val="22"/>
                <w:szCs w:val="22"/>
              </w:rPr>
              <w:t xml:space="preserve"> </w:t>
            </w:r>
            <w:r w:rsidRPr="006747D7">
              <w:rPr>
                <w:rFonts w:ascii="Arial" w:hAnsi="Arial" w:cs="Arial"/>
                <w:color w:val="222222"/>
                <w:sz w:val="22"/>
                <w:szCs w:val="22"/>
              </w:rPr>
              <w:t xml:space="preserve"> </w:t>
            </w:r>
            <w:r w:rsidRPr="006747D7">
              <w:rPr>
                <w:rFonts w:ascii="Arial" w:hAnsi="Arial" w:cs="Arial"/>
                <w:color w:val="222222"/>
                <w:sz w:val="22"/>
                <w:szCs w:val="22"/>
              </w:rPr>
              <w:br/>
            </w:r>
          </w:p>
        </w:tc>
        <w:tc>
          <w:tcPr>
            <w:tcW w:w="912" w:type="pct"/>
            <w:tcBorders>
              <w:bottom w:val="single" w:sz="4" w:space="0" w:color="auto"/>
            </w:tcBorders>
            <w:vAlign w:val="center"/>
          </w:tcPr>
          <w:p w14:paraId="4E60CD31" w14:textId="77777777" w:rsidR="00E15D67" w:rsidRPr="00565AD8" w:rsidRDefault="00E15D67" w:rsidP="00E15D67">
            <w:pPr>
              <w:jc w:val="both"/>
              <w:rPr>
                <w:sz w:val="22"/>
                <w:szCs w:val="22"/>
              </w:rPr>
            </w:pPr>
            <w:r>
              <w:rPr>
                <w:sz w:val="22"/>
                <w:szCs w:val="22"/>
              </w:rPr>
              <w:t>25</w:t>
            </w:r>
            <w:r w:rsidRPr="00565AD8">
              <w:rPr>
                <w:sz w:val="22"/>
                <w:szCs w:val="22"/>
              </w:rPr>
              <w:t>%</w:t>
            </w:r>
          </w:p>
          <w:p w14:paraId="72ACB61A" w14:textId="77777777" w:rsidR="00E15D67" w:rsidRPr="00565AD8" w:rsidRDefault="00E15D67" w:rsidP="00E15D67">
            <w:pPr>
              <w:jc w:val="both"/>
              <w:rPr>
                <w:sz w:val="22"/>
                <w:szCs w:val="22"/>
              </w:rPr>
            </w:pPr>
          </w:p>
          <w:p w14:paraId="4D5AF2D8" w14:textId="66D2F376" w:rsidR="00E15D67" w:rsidRDefault="00E15D67" w:rsidP="00E15D67">
            <w:pPr>
              <w:jc w:val="both"/>
              <w:rPr>
                <w:sz w:val="22"/>
                <w:szCs w:val="22"/>
              </w:rPr>
            </w:pPr>
            <w:r w:rsidRPr="00565AD8">
              <w:rPr>
                <w:sz w:val="22"/>
                <w:szCs w:val="22"/>
              </w:rPr>
              <w:t xml:space="preserve">Var samazināt uz </w:t>
            </w:r>
            <w:r>
              <w:rPr>
                <w:sz w:val="22"/>
                <w:szCs w:val="22"/>
              </w:rPr>
              <w:t xml:space="preserve">10% vai </w:t>
            </w:r>
            <w:r w:rsidRPr="00565AD8">
              <w:rPr>
                <w:sz w:val="22"/>
                <w:szCs w:val="22"/>
              </w:rPr>
              <w:t xml:space="preserve">5%, atkarībā no </w:t>
            </w:r>
            <w:r>
              <w:rPr>
                <w:sz w:val="22"/>
                <w:szCs w:val="22"/>
              </w:rPr>
              <w:t>pārkāpuma būtiskuma.</w:t>
            </w:r>
          </w:p>
        </w:tc>
      </w:tr>
      <w:tr w:rsidR="00B977A4" w:rsidRPr="009D07C7" w14:paraId="503E1218" w14:textId="77777777" w:rsidTr="00D87B45">
        <w:trPr>
          <w:trHeight w:val="332"/>
        </w:trPr>
        <w:tc>
          <w:tcPr>
            <w:tcW w:w="276" w:type="pct"/>
            <w:tcBorders>
              <w:bottom w:val="single" w:sz="4" w:space="0" w:color="auto"/>
            </w:tcBorders>
          </w:tcPr>
          <w:p w14:paraId="675F641F" w14:textId="77777777" w:rsidR="00B977A4" w:rsidRPr="009D07C7" w:rsidRDefault="00B977A4" w:rsidP="00B977A4">
            <w:pPr>
              <w:numPr>
                <w:ilvl w:val="0"/>
                <w:numId w:val="1"/>
              </w:numPr>
              <w:rPr>
                <w:sz w:val="22"/>
                <w:szCs w:val="22"/>
              </w:rPr>
            </w:pPr>
          </w:p>
        </w:tc>
        <w:tc>
          <w:tcPr>
            <w:tcW w:w="1726" w:type="pct"/>
            <w:tcBorders>
              <w:bottom w:val="single" w:sz="4" w:space="0" w:color="auto"/>
            </w:tcBorders>
            <w:vAlign w:val="center"/>
          </w:tcPr>
          <w:p w14:paraId="3D0A354C" w14:textId="77777777" w:rsidR="00B977A4" w:rsidRPr="00C76536" w:rsidRDefault="00B977A4" w:rsidP="00B977A4">
            <w:pPr>
              <w:autoSpaceDE w:val="0"/>
              <w:autoSpaceDN w:val="0"/>
              <w:adjustRightInd w:val="0"/>
              <w:jc w:val="both"/>
              <w:rPr>
                <w:sz w:val="22"/>
                <w:szCs w:val="22"/>
              </w:rPr>
            </w:pPr>
            <w:r>
              <w:rPr>
                <w:sz w:val="22"/>
                <w:szCs w:val="22"/>
              </w:rPr>
              <w:t>I</w:t>
            </w:r>
            <w:r w:rsidRPr="00736FC3">
              <w:rPr>
                <w:sz w:val="22"/>
                <w:szCs w:val="22"/>
              </w:rPr>
              <w:t xml:space="preserve">epirkuma dokumentācijā </w:t>
            </w:r>
            <w:r>
              <w:rPr>
                <w:sz w:val="22"/>
                <w:szCs w:val="22"/>
              </w:rPr>
              <w:t>t</w:t>
            </w:r>
            <w:r w:rsidRPr="00C76536">
              <w:rPr>
                <w:sz w:val="22"/>
                <w:szCs w:val="22"/>
              </w:rPr>
              <w:t xml:space="preserve">rūkst informācija par </w:t>
            </w:r>
            <w:r>
              <w:rPr>
                <w:sz w:val="22"/>
                <w:szCs w:val="22"/>
              </w:rPr>
              <w:t>piedāvājuma iz</w:t>
            </w:r>
            <w:r w:rsidRPr="00C76536">
              <w:rPr>
                <w:sz w:val="22"/>
                <w:szCs w:val="22"/>
              </w:rPr>
              <w:t xml:space="preserve">vērtēšanas kritērijiem </w:t>
            </w:r>
          </w:p>
          <w:p w14:paraId="4BAB777B" w14:textId="77777777" w:rsidR="00B977A4" w:rsidRDefault="00B977A4" w:rsidP="00B977A4">
            <w:pPr>
              <w:autoSpaceDE w:val="0"/>
              <w:autoSpaceDN w:val="0"/>
              <w:adjustRightInd w:val="0"/>
              <w:jc w:val="both"/>
              <w:rPr>
                <w:i/>
                <w:sz w:val="22"/>
                <w:szCs w:val="22"/>
              </w:rPr>
            </w:pPr>
          </w:p>
          <w:p w14:paraId="0C137F7B" w14:textId="77777777" w:rsidR="00B977A4" w:rsidRDefault="00B977A4" w:rsidP="00B977A4">
            <w:pPr>
              <w:autoSpaceDE w:val="0"/>
              <w:autoSpaceDN w:val="0"/>
              <w:adjustRightInd w:val="0"/>
              <w:jc w:val="both"/>
              <w:rPr>
                <w:i/>
                <w:sz w:val="22"/>
                <w:szCs w:val="22"/>
              </w:rPr>
            </w:pPr>
            <w:r w:rsidRPr="006163DC">
              <w:rPr>
                <w:i/>
                <w:sz w:val="22"/>
                <w:szCs w:val="22"/>
              </w:rPr>
              <w:t>Direktīvas Nr.</w:t>
            </w:r>
            <w:r>
              <w:rPr>
                <w:i/>
                <w:sz w:val="22"/>
                <w:szCs w:val="22"/>
              </w:rPr>
              <w:t xml:space="preserve">2014/24/ES  36(2).pants, 48(1).pants, 49.pants, 50(1).-50(3).pants, 51(1).pants, 51(3).pants, 51(5).panta pirmā un otrā daļa, 52(1).pants, 52(2).pants, 52(3).pants, 56(1).panta pirmā daļa, 57(1).-57(4).pants, 57(7).pants, 58.pants, 60(1).-60(4).pants, 62(1).pants, 62(2).pants, -63(1).pants, 65.pants, 66.pants, 67.pants (izņemot 3. un 4.punktu); </w:t>
            </w:r>
          </w:p>
          <w:p w14:paraId="630E4455" w14:textId="77777777" w:rsidR="00B977A4" w:rsidRDefault="00B977A4" w:rsidP="00B977A4">
            <w:pPr>
              <w:autoSpaceDE w:val="0"/>
              <w:autoSpaceDN w:val="0"/>
              <w:adjustRightInd w:val="0"/>
              <w:jc w:val="both"/>
              <w:rPr>
                <w:i/>
                <w:sz w:val="22"/>
                <w:szCs w:val="22"/>
              </w:rPr>
            </w:pPr>
            <w:r w:rsidRPr="009B63CD">
              <w:rPr>
                <w:i/>
                <w:sz w:val="22"/>
                <w:szCs w:val="22"/>
              </w:rPr>
              <w:t>V pielikuma</w:t>
            </w:r>
            <w:r>
              <w:rPr>
                <w:i/>
                <w:sz w:val="22"/>
                <w:szCs w:val="22"/>
              </w:rPr>
              <w:t xml:space="preserve"> C daļas 11.punkta c) apakšpunkts un 18.punkts.</w:t>
            </w:r>
          </w:p>
          <w:p w14:paraId="356068FD" w14:textId="77777777" w:rsidR="00B977A4" w:rsidRDefault="00B977A4" w:rsidP="00B977A4">
            <w:pPr>
              <w:autoSpaceDE w:val="0"/>
              <w:autoSpaceDN w:val="0"/>
              <w:adjustRightInd w:val="0"/>
              <w:jc w:val="both"/>
              <w:rPr>
                <w:i/>
                <w:sz w:val="22"/>
                <w:szCs w:val="22"/>
              </w:rPr>
            </w:pPr>
            <w:r>
              <w:rPr>
                <w:i/>
                <w:sz w:val="22"/>
                <w:szCs w:val="22"/>
              </w:rPr>
              <w:t>XII pielikuma I un II daļa.</w:t>
            </w:r>
          </w:p>
          <w:p w14:paraId="4EA89244" w14:textId="77777777" w:rsidR="00B977A4" w:rsidRDefault="00B977A4" w:rsidP="00B977A4">
            <w:pPr>
              <w:autoSpaceDE w:val="0"/>
              <w:autoSpaceDN w:val="0"/>
              <w:adjustRightInd w:val="0"/>
              <w:jc w:val="both"/>
              <w:rPr>
                <w:i/>
                <w:sz w:val="22"/>
                <w:szCs w:val="22"/>
              </w:rPr>
            </w:pPr>
          </w:p>
          <w:p w14:paraId="34002B2C" w14:textId="77777777" w:rsidR="00B977A4" w:rsidRDefault="00B977A4" w:rsidP="00B977A4">
            <w:pPr>
              <w:autoSpaceDE w:val="0"/>
              <w:autoSpaceDN w:val="0"/>
              <w:adjustRightInd w:val="0"/>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44(4).pants, 67(2).pants, 69.pants, 78(1). pants, 78(2).pants, 79(2).pants, 82. pants (izņemot 3. un 4.punktu), XI pielikums.</w:t>
            </w:r>
          </w:p>
          <w:p w14:paraId="0585031E" w14:textId="77777777" w:rsidR="00B977A4" w:rsidRDefault="00B977A4" w:rsidP="00B977A4">
            <w:pPr>
              <w:autoSpaceDE w:val="0"/>
              <w:autoSpaceDN w:val="0"/>
              <w:adjustRightInd w:val="0"/>
              <w:jc w:val="both"/>
              <w:rPr>
                <w:i/>
                <w:sz w:val="22"/>
                <w:szCs w:val="22"/>
              </w:rPr>
            </w:pPr>
          </w:p>
          <w:p w14:paraId="5190F33F" w14:textId="5AD537FD" w:rsidR="00B977A4" w:rsidRPr="007F4E24" w:rsidRDefault="00B977A4" w:rsidP="00B977A4">
            <w:pPr>
              <w:jc w:val="both"/>
              <w:rPr>
                <w:sz w:val="22"/>
                <w:szCs w:val="22"/>
              </w:rPr>
            </w:pPr>
            <w:r w:rsidRPr="00A2172D">
              <w:rPr>
                <w:sz w:val="22"/>
                <w:szCs w:val="22"/>
              </w:rPr>
              <w:t>(EK 19.12.2013. vadlīniju  2.1.sadaļas 8.punkts)</w:t>
            </w:r>
          </w:p>
        </w:tc>
        <w:tc>
          <w:tcPr>
            <w:tcW w:w="2086" w:type="pct"/>
            <w:gridSpan w:val="2"/>
            <w:tcBorders>
              <w:bottom w:val="single" w:sz="4" w:space="0" w:color="auto"/>
            </w:tcBorders>
          </w:tcPr>
          <w:p w14:paraId="3AA1FB6F" w14:textId="77777777" w:rsidR="00B977A4" w:rsidRPr="00736FC3" w:rsidRDefault="00B977A4" w:rsidP="00B977A4">
            <w:pPr>
              <w:autoSpaceDE w:val="0"/>
              <w:autoSpaceDN w:val="0"/>
              <w:adjustRightInd w:val="0"/>
              <w:jc w:val="both"/>
              <w:rPr>
                <w:sz w:val="22"/>
                <w:szCs w:val="22"/>
              </w:rPr>
            </w:pPr>
            <w:r>
              <w:rPr>
                <w:sz w:val="22"/>
                <w:szCs w:val="22"/>
              </w:rPr>
              <w:t>I</w:t>
            </w:r>
            <w:r w:rsidRPr="00736FC3">
              <w:rPr>
                <w:sz w:val="22"/>
                <w:szCs w:val="22"/>
              </w:rPr>
              <w:t xml:space="preserve">epirkuma dokumentācijā </w:t>
            </w:r>
            <w:r w:rsidRPr="00736FC3">
              <w:rPr>
                <w:sz w:val="22"/>
                <w:szCs w:val="22"/>
                <w:u w:val="single"/>
              </w:rPr>
              <w:t>nav norādīti</w:t>
            </w:r>
            <w:r w:rsidRPr="00736FC3">
              <w:rPr>
                <w:sz w:val="22"/>
                <w:szCs w:val="22"/>
              </w:rPr>
              <w:t xml:space="preserve"> </w:t>
            </w:r>
            <w:r>
              <w:rPr>
                <w:sz w:val="22"/>
                <w:szCs w:val="22"/>
              </w:rPr>
              <w:t>piedāvājuma iz</w:t>
            </w:r>
            <w:r w:rsidRPr="00C76536">
              <w:rPr>
                <w:sz w:val="22"/>
                <w:szCs w:val="22"/>
              </w:rPr>
              <w:t>vērtēšanas kritēriji</w:t>
            </w:r>
            <w:r w:rsidRPr="00736FC3">
              <w:rPr>
                <w:sz w:val="22"/>
                <w:szCs w:val="22"/>
              </w:rPr>
              <w:t>.</w:t>
            </w:r>
          </w:p>
          <w:p w14:paraId="7337A877" w14:textId="77777777" w:rsidR="00B977A4" w:rsidRPr="00736FC3" w:rsidRDefault="00B977A4" w:rsidP="00B977A4">
            <w:pPr>
              <w:autoSpaceDE w:val="0"/>
              <w:autoSpaceDN w:val="0"/>
              <w:adjustRightInd w:val="0"/>
              <w:jc w:val="both"/>
              <w:rPr>
                <w:sz w:val="22"/>
                <w:szCs w:val="22"/>
              </w:rPr>
            </w:pPr>
          </w:p>
          <w:p w14:paraId="40D086A3" w14:textId="3D6F278C" w:rsidR="00B977A4" w:rsidRDefault="00993C79" w:rsidP="00B977A4">
            <w:pPr>
              <w:jc w:val="both"/>
              <w:rPr>
                <w:sz w:val="22"/>
                <w:szCs w:val="22"/>
              </w:rPr>
            </w:pPr>
            <w:r>
              <w:rPr>
                <w:sz w:val="22"/>
                <w:szCs w:val="22"/>
              </w:rPr>
              <w:t>I</w:t>
            </w:r>
            <w:r w:rsidRPr="00736FC3">
              <w:rPr>
                <w:sz w:val="22"/>
                <w:szCs w:val="22"/>
              </w:rPr>
              <w:t xml:space="preserve">epirkuma dokumentācijā </w:t>
            </w:r>
            <w:r w:rsidRPr="00736FC3">
              <w:rPr>
                <w:sz w:val="22"/>
                <w:szCs w:val="22"/>
                <w:u w:val="single"/>
              </w:rPr>
              <w:t>nepietiekamā detalizācijā</w:t>
            </w:r>
            <w:r w:rsidRPr="00736FC3">
              <w:rPr>
                <w:sz w:val="22"/>
                <w:szCs w:val="22"/>
              </w:rPr>
              <w:t xml:space="preserve"> norādīti </w:t>
            </w:r>
            <w:r>
              <w:rPr>
                <w:sz w:val="22"/>
                <w:szCs w:val="22"/>
              </w:rPr>
              <w:t>piedāvājuma iz</w:t>
            </w:r>
            <w:r w:rsidRPr="00C76536">
              <w:rPr>
                <w:sz w:val="22"/>
                <w:szCs w:val="22"/>
              </w:rPr>
              <w:t>vērtēšanas kritēriji</w:t>
            </w:r>
            <w:r w:rsidRPr="00736FC3">
              <w:rPr>
                <w:sz w:val="22"/>
                <w:szCs w:val="22"/>
              </w:rPr>
              <w:t xml:space="preserve"> </w:t>
            </w:r>
            <w:r w:rsidRPr="00061643">
              <w:rPr>
                <w:sz w:val="22"/>
                <w:szCs w:val="22"/>
              </w:rPr>
              <w:t>(</w:t>
            </w:r>
            <w:r>
              <w:rPr>
                <w:sz w:val="22"/>
                <w:szCs w:val="22"/>
              </w:rPr>
              <w:t xml:space="preserve">tie nav norādīti secībā pēc </w:t>
            </w:r>
            <w:r w:rsidRPr="00061643">
              <w:rPr>
                <w:sz w:val="22"/>
                <w:szCs w:val="22"/>
              </w:rPr>
              <w:t>nozīmīgum</w:t>
            </w:r>
            <w:r>
              <w:rPr>
                <w:sz w:val="22"/>
                <w:szCs w:val="22"/>
              </w:rPr>
              <w:t>a,</w:t>
            </w:r>
            <w:r w:rsidRPr="00736FC3">
              <w:rPr>
                <w:sz w:val="22"/>
                <w:szCs w:val="22"/>
              </w:rPr>
              <w:t xml:space="preserve"> </w:t>
            </w:r>
            <w:r>
              <w:rPr>
                <w:sz w:val="22"/>
                <w:szCs w:val="22"/>
              </w:rPr>
              <w:t xml:space="preserve">trūkst </w:t>
            </w:r>
            <w:r w:rsidRPr="00061643">
              <w:rPr>
                <w:sz w:val="22"/>
                <w:szCs w:val="22"/>
              </w:rPr>
              <w:t>kritēriju vērtības</w:t>
            </w:r>
            <w:r>
              <w:rPr>
                <w:sz w:val="22"/>
                <w:szCs w:val="22"/>
              </w:rPr>
              <w:t xml:space="preserve"> un</w:t>
            </w:r>
            <w:r w:rsidRPr="00061643">
              <w:rPr>
                <w:sz w:val="22"/>
                <w:szCs w:val="22"/>
              </w:rPr>
              <w:t>, ja attiecināms, vērtību diapazoni, kā arī piedāvājuma izvēles algoritm</w:t>
            </w:r>
            <w:r>
              <w:rPr>
                <w:sz w:val="22"/>
                <w:szCs w:val="22"/>
              </w:rPr>
              <w:t>s</w:t>
            </w:r>
            <w:r w:rsidRPr="00061643">
              <w:rPr>
                <w:sz w:val="22"/>
                <w:szCs w:val="22"/>
              </w:rPr>
              <w:t xml:space="preserve"> saskaņā ar šiem kritērijiem,</w:t>
            </w:r>
            <w:r>
              <w:rPr>
                <w:sz w:val="22"/>
                <w:szCs w:val="22"/>
              </w:rPr>
              <w:t xml:space="preserve"> un</w:t>
            </w:r>
            <w:r w:rsidRPr="00061643">
              <w:rPr>
                <w:sz w:val="22"/>
                <w:szCs w:val="22"/>
              </w:rPr>
              <w:t xml:space="preserve"> apraksts, kā tiks piemērots katrs no norādītajiem izvērtēšanas kritērijiem</w:t>
            </w:r>
            <w:r w:rsidR="00B977A4" w:rsidRPr="00061643">
              <w:rPr>
                <w:sz w:val="22"/>
                <w:szCs w:val="22"/>
              </w:rPr>
              <w:t>)</w:t>
            </w:r>
          </w:p>
        </w:tc>
        <w:tc>
          <w:tcPr>
            <w:tcW w:w="912" w:type="pct"/>
            <w:tcBorders>
              <w:bottom w:val="single" w:sz="4" w:space="0" w:color="auto"/>
            </w:tcBorders>
          </w:tcPr>
          <w:p w14:paraId="28157152" w14:textId="77777777" w:rsidR="00B977A4" w:rsidRPr="00565AD8" w:rsidRDefault="00B977A4" w:rsidP="00B977A4">
            <w:pPr>
              <w:jc w:val="both"/>
              <w:rPr>
                <w:sz w:val="22"/>
                <w:szCs w:val="22"/>
              </w:rPr>
            </w:pPr>
            <w:r w:rsidRPr="00565AD8">
              <w:rPr>
                <w:sz w:val="22"/>
                <w:szCs w:val="22"/>
              </w:rPr>
              <w:t>25%</w:t>
            </w:r>
          </w:p>
          <w:p w14:paraId="59A927A3" w14:textId="77777777" w:rsidR="00B977A4" w:rsidRPr="00565AD8" w:rsidRDefault="00B977A4" w:rsidP="00B977A4">
            <w:pPr>
              <w:jc w:val="both"/>
              <w:rPr>
                <w:sz w:val="22"/>
                <w:szCs w:val="22"/>
              </w:rPr>
            </w:pPr>
          </w:p>
          <w:p w14:paraId="1AC9F163" w14:textId="496271AE" w:rsidR="00B977A4" w:rsidRDefault="00B977A4" w:rsidP="00B977A4">
            <w:pPr>
              <w:jc w:val="both"/>
              <w:rPr>
                <w:sz w:val="22"/>
                <w:szCs w:val="22"/>
              </w:rPr>
            </w:pPr>
            <w:r w:rsidRPr="00565AD8">
              <w:rPr>
                <w:sz w:val="22"/>
                <w:szCs w:val="22"/>
              </w:rPr>
              <w:t xml:space="preserve">Var samazināt uz 10% vai 5%, </w:t>
            </w:r>
            <w:r>
              <w:rPr>
                <w:sz w:val="22"/>
                <w:szCs w:val="22"/>
              </w:rPr>
              <w:t xml:space="preserve">ja atlases / vērtēšanas kritēriji bija noteikti iepirkuma paziņojumā (vai iepirkuma dokumentācijā attiecībā uz  vērtēšanas kritērijiem), bet tie bija nepietiekamā detalizācijā. </w:t>
            </w:r>
          </w:p>
        </w:tc>
      </w:tr>
      <w:tr w:rsidR="002A6D87" w:rsidRPr="009D07C7" w14:paraId="28FB2A44" w14:textId="77777777" w:rsidTr="00952CF5">
        <w:trPr>
          <w:trHeight w:val="332"/>
        </w:trPr>
        <w:tc>
          <w:tcPr>
            <w:tcW w:w="276" w:type="pct"/>
            <w:tcBorders>
              <w:bottom w:val="single" w:sz="4" w:space="0" w:color="auto"/>
            </w:tcBorders>
          </w:tcPr>
          <w:p w14:paraId="08760EFC" w14:textId="77777777" w:rsidR="002A6D87" w:rsidRPr="009D07C7" w:rsidRDefault="002A6D87" w:rsidP="002A6D87">
            <w:pPr>
              <w:numPr>
                <w:ilvl w:val="0"/>
                <w:numId w:val="1"/>
              </w:numPr>
              <w:rPr>
                <w:sz w:val="22"/>
                <w:szCs w:val="22"/>
              </w:rPr>
            </w:pPr>
          </w:p>
        </w:tc>
        <w:tc>
          <w:tcPr>
            <w:tcW w:w="1726" w:type="pct"/>
            <w:tcBorders>
              <w:bottom w:val="single" w:sz="4" w:space="0" w:color="auto"/>
            </w:tcBorders>
          </w:tcPr>
          <w:p w14:paraId="03B6ACA0" w14:textId="2108CDC8" w:rsidR="002A6D87" w:rsidRPr="00140F35" w:rsidRDefault="00B977A4" w:rsidP="002A6D87">
            <w:pPr>
              <w:autoSpaceDE w:val="0"/>
              <w:autoSpaceDN w:val="0"/>
              <w:adjustRightInd w:val="0"/>
              <w:jc w:val="both"/>
              <w:rPr>
                <w:sz w:val="22"/>
                <w:szCs w:val="22"/>
              </w:rPr>
            </w:pPr>
            <w:r>
              <w:rPr>
                <w:sz w:val="22"/>
                <w:szCs w:val="22"/>
              </w:rPr>
              <w:t>L</w:t>
            </w:r>
            <w:r w:rsidRPr="00736FC3">
              <w:rPr>
                <w:sz w:val="22"/>
                <w:szCs w:val="22"/>
              </w:rPr>
              <w:t>īgum</w:t>
            </w:r>
            <w:r>
              <w:rPr>
                <w:sz w:val="22"/>
                <w:szCs w:val="22"/>
              </w:rPr>
              <w:t xml:space="preserve">a </w:t>
            </w:r>
            <w:r w:rsidRPr="00B977A4">
              <w:rPr>
                <w:sz w:val="22"/>
                <w:szCs w:val="22"/>
              </w:rPr>
              <w:t>p</w:t>
            </w:r>
            <w:r w:rsidR="00736FC3" w:rsidRPr="00736FC3">
              <w:rPr>
                <w:sz w:val="22"/>
                <w:szCs w:val="22"/>
              </w:rPr>
              <w:t xml:space="preserve">aziņojumā </w:t>
            </w:r>
            <w:r w:rsidR="002A6D87" w:rsidRPr="00140F35">
              <w:rPr>
                <w:sz w:val="22"/>
                <w:szCs w:val="22"/>
              </w:rPr>
              <w:t>vai iepirkuma dokumentācijā izmantoti prettiesiski un/vai diskriminējoši atlases un/vai vērtēšanas kritēriji</w:t>
            </w:r>
          </w:p>
          <w:p w14:paraId="12092376" w14:textId="77777777" w:rsidR="002A6D87" w:rsidRPr="00140F35" w:rsidRDefault="002A6D87" w:rsidP="002A6D87">
            <w:pPr>
              <w:autoSpaceDE w:val="0"/>
              <w:autoSpaceDN w:val="0"/>
              <w:adjustRightInd w:val="0"/>
              <w:jc w:val="both"/>
              <w:rPr>
                <w:sz w:val="22"/>
                <w:szCs w:val="22"/>
              </w:rPr>
            </w:pPr>
          </w:p>
          <w:p w14:paraId="03A2153A" w14:textId="77777777" w:rsidR="002A6D87" w:rsidRPr="00140F35" w:rsidRDefault="002A6D87" w:rsidP="002A6D87">
            <w:pPr>
              <w:autoSpaceDE w:val="0"/>
              <w:autoSpaceDN w:val="0"/>
              <w:adjustRightInd w:val="0"/>
              <w:jc w:val="both"/>
              <w:rPr>
                <w:i/>
                <w:sz w:val="22"/>
                <w:szCs w:val="22"/>
              </w:rPr>
            </w:pPr>
            <w:r w:rsidRPr="00140F35">
              <w:rPr>
                <w:i/>
                <w:sz w:val="22"/>
                <w:szCs w:val="22"/>
              </w:rPr>
              <w:t>Direktīvas Nr.2014/24/ES 57(1).-57(4).pants, 57(7).pants, 58(2)- 58(4).pants, 60(1).-60(4).pants, 62(1).pants, 62(2).pants, 63(1).pants, 65.pants, 67.pants (izņemot 3. un 4.punktu).</w:t>
            </w:r>
          </w:p>
          <w:p w14:paraId="7C14FDC0" w14:textId="77777777" w:rsidR="002A6D87" w:rsidRPr="00140F35" w:rsidRDefault="002A6D87" w:rsidP="002A6D87">
            <w:pPr>
              <w:autoSpaceDE w:val="0"/>
              <w:autoSpaceDN w:val="0"/>
              <w:adjustRightInd w:val="0"/>
              <w:jc w:val="both"/>
              <w:rPr>
                <w:i/>
                <w:sz w:val="22"/>
                <w:szCs w:val="22"/>
              </w:rPr>
            </w:pPr>
            <w:r w:rsidRPr="00140F35">
              <w:rPr>
                <w:i/>
                <w:sz w:val="22"/>
                <w:szCs w:val="22"/>
              </w:rPr>
              <w:t>Direktīvas Nr.2014/25/ES 78(1). pants, 78(2).pants, 79(2).pants, 82.pants (izņemot 3. un 4.punktu).</w:t>
            </w:r>
          </w:p>
          <w:p w14:paraId="34298635" w14:textId="4C57AAFB" w:rsidR="002A6D87" w:rsidRDefault="002A6D87" w:rsidP="002A6D87">
            <w:pPr>
              <w:autoSpaceDE w:val="0"/>
              <w:autoSpaceDN w:val="0"/>
              <w:adjustRightInd w:val="0"/>
              <w:rPr>
                <w:sz w:val="22"/>
                <w:szCs w:val="22"/>
              </w:rPr>
            </w:pPr>
            <w:r w:rsidRPr="00140F35">
              <w:rPr>
                <w:sz w:val="22"/>
                <w:szCs w:val="22"/>
              </w:rPr>
              <w:t>(EK 19.12.2013. vadlīniju  2.1.sadaļas 9.punkts)</w:t>
            </w:r>
          </w:p>
        </w:tc>
        <w:tc>
          <w:tcPr>
            <w:tcW w:w="2086" w:type="pct"/>
            <w:gridSpan w:val="2"/>
            <w:tcBorders>
              <w:bottom w:val="single" w:sz="4" w:space="0" w:color="auto"/>
            </w:tcBorders>
          </w:tcPr>
          <w:p w14:paraId="5A473F51" w14:textId="3609E349" w:rsidR="002A6D87" w:rsidRPr="00140F35" w:rsidRDefault="002A6D87" w:rsidP="002A6D87">
            <w:pPr>
              <w:autoSpaceDE w:val="0"/>
              <w:autoSpaceDN w:val="0"/>
              <w:adjustRightInd w:val="0"/>
              <w:jc w:val="both"/>
              <w:rPr>
                <w:sz w:val="22"/>
                <w:szCs w:val="22"/>
              </w:rPr>
            </w:pPr>
            <w:r w:rsidRPr="00140F35">
              <w:rPr>
                <w:sz w:val="22"/>
                <w:szCs w:val="22"/>
              </w:rPr>
              <w:t xml:space="preserve">Gadījumi, kad daži ieinteresētie piegādātāji atturēti (nav varējuši) iesniegt </w:t>
            </w:r>
            <w:r w:rsidR="00736FC3">
              <w:rPr>
                <w:sz w:val="22"/>
                <w:szCs w:val="22"/>
              </w:rPr>
              <w:t xml:space="preserve">pieteikumu vai </w:t>
            </w:r>
            <w:r w:rsidRPr="00140F35">
              <w:rPr>
                <w:sz w:val="22"/>
                <w:szCs w:val="22"/>
              </w:rPr>
              <w:t xml:space="preserve">piedāvājumu, jo </w:t>
            </w:r>
            <w:r w:rsidR="00B977A4">
              <w:rPr>
                <w:sz w:val="22"/>
                <w:szCs w:val="22"/>
              </w:rPr>
              <w:t xml:space="preserve">līguma </w:t>
            </w:r>
            <w:r w:rsidRPr="00140F35">
              <w:rPr>
                <w:sz w:val="22"/>
                <w:szCs w:val="22"/>
              </w:rPr>
              <w:t xml:space="preserve">paziņojumā vai </w:t>
            </w:r>
            <w:r w:rsidR="00736FC3">
              <w:rPr>
                <w:sz w:val="22"/>
                <w:szCs w:val="22"/>
              </w:rPr>
              <w:t xml:space="preserve">iepirkuma </w:t>
            </w:r>
            <w:r w:rsidRPr="00140F35">
              <w:rPr>
                <w:sz w:val="22"/>
                <w:szCs w:val="22"/>
              </w:rPr>
              <w:t xml:space="preserve">dokumentos ir noteikti prettiesiski un/vai diskriminējoši atlases un/vai vērtēšanas kritēriji. </w:t>
            </w:r>
          </w:p>
          <w:p w14:paraId="7A54E1FC" w14:textId="77777777" w:rsidR="002A6D87" w:rsidRPr="00140F35" w:rsidRDefault="002A6D87" w:rsidP="002A6D87">
            <w:pPr>
              <w:autoSpaceDE w:val="0"/>
              <w:autoSpaceDN w:val="0"/>
              <w:adjustRightInd w:val="0"/>
              <w:jc w:val="both"/>
              <w:rPr>
                <w:sz w:val="22"/>
                <w:szCs w:val="22"/>
              </w:rPr>
            </w:pPr>
          </w:p>
          <w:p w14:paraId="256E7F67" w14:textId="77777777" w:rsidR="002A6D87" w:rsidRPr="00140F35" w:rsidRDefault="002A6D87" w:rsidP="002A6D87">
            <w:pPr>
              <w:autoSpaceDE w:val="0"/>
              <w:autoSpaceDN w:val="0"/>
              <w:adjustRightInd w:val="0"/>
              <w:jc w:val="both"/>
              <w:rPr>
                <w:i/>
                <w:sz w:val="22"/>
                <w:szCs w:val="22"/>
              </w:rPr>
            </w:pPr>
            <w:r w:rsidRPr="00140F35">
              <w:rPr>
                <w:i/>
                <w:sz w:val="22"/>
                <w:szCs w:val="22"/>
              </w:rPr>
              <w:t xml:space="preserve">Piemēram: </w:t>
            </w:r>
          </w:p>
          <w:p w14:paraId="1B1A59D4" w14:textId="77777777" w:rsidR="002A6D87" w:rsidRPr="00140F35" w:rsidRDefault="002A6D87" w:rsidP="002C4871">
            <w:pPr>
              <w:numPr>
                <w:ilvl w:val="0"/>
                <w:numId w:val="11"/>
              </w:numPr>
              <w:autoSpaceDE w:val="0"/>
              <w:autoSpaceDN w:val="0"/>
              <w:adjustRightInd w:val="0"/>
              <w:ind w:left="298" w:hanging="283"/>
              <w:jc w:val="both"/>
              <w:rPr>
                <w:i/>
                <w:sz w:val="22"/>
                <w:szCs w:val="22"/>
              </w:rPr>
            </w:pPr>
            <w:r>
              <w:rPr>
                <w:i/>
                <w:sz w:val="22"/>
                <w:szCs w:val="22"/>
              </w:rPr>
              <w:t>P</w:t>
            </w:r>
            <w:r w:rsidRPr="00140F35">
              <w:rPr>
                <w:i/>
                <w:sz w:val="22"/>
                <w:szCs w:val="22"/>
              </w:rPr>
              <w:t>rasība būt reģistrētam vai pārstāvētam valstī, kurā jāiesniedz piedāvājums;</w:t>
            </w:r>
          </w:p>
          <w:p w14:paraId="5CF4D176" w14:textId="6E8C7151" w:rsidR="002A6D87" w:rsidRPr="00B977A4" w:rsidRDefault="002A6D87" w:rsidP="002C4871">
            <w:pPr>
              <w:numPr>
                <w:ilvl w:val="0"/>
                <w:numId w:val="11"/>
              </w:numPr>
              <w:autoSpaceDE w:val="0"/>
              <w:autoSpaceDN w:val="0"/>
              <w:adjustRightInd w:val="0"/>
              <w:ind w:left="298" w:hanging="283"/>
              <w:jc w:val="both"/>
              <w:rPr>
                <w:sz w:val="22"/>
                <w:szCs w:val="22"/>
              </w:rPr>
            </w:pPr>
            <w:r>
              <w:rPr>
                <w:i/>
                <w:sz w:val="22"/>
                <w:szCs w:val="22"/>
              </w:rPr>
              <w:t>P</w:t>
            </w:r>
            <w:r w:rsidRPr="00140F35">
              <w:rPr>
                <w:i/>
                <w:sz w:val="22"/>
                <w:szCs w:val="22"/>
              </w:rPr>
              <w:t>rasība par pieredzi darbā konkrētā reģionā</w:t>
            </w:r>
            <w:r w:rsidR="00B977A4">
              <w:rPr>
                <w:i/>
                <w:sz w:val="22"/>
                <w:szCs w:val="22"/>
              </w:rPr>
              <w:t>;</w:t>
            </w:r>
          </w:p>
          <w:p w14:paraId="1CE418A7" w14:textId="2D1C12DC" w:rsidR="00B977A4" w:rsidRPr="00B511BD" w:rsidRDefault="00B977A4" w:rsidP="00B977A4">
            <w:pPr>
              <w:autoSpaceDE w:val="0"/>
              <w:autoSpaceDN w:val="0"/>
              <w:adjustRightInd w:val="0"/>
              <w:spacing w:after="120"/>
              <w:ind w:left="573"/>
              <w:jc w:val="both"/>
              <w:rPr>
                <w:sz w:val="22"/>
                <w:szCs w:val="22"/>
              </w:rPr>
            </w:pPr>
            <w:r w:rsidRPr="00451F31">
              <w:rPr>
                <w:sz w:val="22"/>
                <w:szCs w:val="22"/>
              </w:rPr>
              <w:t xml:space="preserve">Tomēr ir </w:t>
            </w:r>
            <w:r>
              <w:rPr>
                <w:sz w:val="22"/>
                <w:szCs w:val="22"/>
              </w:rPr>
              <w:t xml:space="preserve">izņēmuma </w:t>
            </w:r>
            <w:r w:rsidRPr="00451F31">
              <w:rPr>
                <w:sz w:val="22"/>
                <w:szCs w:val="22"/>
              </w:rPr>
              <w:t>gadījumi, kad šādas prasības tiek akceptētas,</w:t>
            </w:r>
            <w:r>
              <w:rPr>
                <w:sz w:val="22"/>
                <w:szCs w:val="22"/>
              </w:rPr>
              <w:t xml:space="preserve"> piemēram,</w:t>
            </w:r>
            <w:r w:rsidRPr="00451F31">
              <w:rPr>
                <w:sz w:val="22"/>
                <w:szCs w:val="22"/>
              </w:rPr>
              <w:t xml:space="preserve"> ja </w:t>
            </w:r>
            <w:r w:rsidRPr="00451F31">
              <w:rPr>
                <w:sz w:val="22"/>
                <w:szCs w:val="22"/>
                <w:u w:val="single"/>
              </w:rPr>
              <w:t>atbilstošu pieredzi var iegūt vienīgi attiecīgajā reģionā/ valstī</w:t>
            </w:r>
            <w:r>
              <w:rPr>
                <w:sz w:val="22"/>
                <w:szCs w:val="22"/>
              </w:rPr>
              <w:t>;</w:t>
            </w:r>
          </w:p>
          <w:p w14:paraId="20EA5B20" w14:textId="77777777" w:rsidR="002A6D87" w:rsidRPr="00B511BD" w:rsidRDefault="002A6D87" w:rsidP="002C4871">
            <w:pPr>
              <w:numPr>
                <w:ilvl w:val="0"/>
                <w:numId w:val="11"/>
              </w:numPr>
              <w:autoSpaceDE w:val="0"/>
              <w:autoSpaceDN w:val="0"/>
              <w:adjustRightInd w:val="0"/>
              <w:ind w:left="298" w:hanging="283"/>
              <w:jc w:val="both"/>
              <w:rPr>
                <w:i/>
                <w:sz w:val="22"/>
                <w:szCs w:val="22"/>
              </w:rPr>
            </w:pPr>
            <w:r w:rsidRPr="00B511BD">
              <w:rPr>
                <w:i/>
                <w:sz w:val="22"/>
                <w:szCs w:val="22"/>
              </w:rPr>
              <w:t>Pretendents ir reģistrēts LV reģistrā uz piedāvājuma iesniegšanas brīdi</w:t>
            </w:r>
          </w:p>
          <w:p w14:paraId="59B694B1" w14:textId="77777777" w:rsidR="002A6D87" w:rsidRPr="00B511BD" w:rsidRDefault="002A6D87" w:rsidP="002C4871">
            <w:pPr>
              <w:numPr>
                <w:ilvl w:val="0"/>
                <w:numId w:val="11"/>
              </w:numPr>
              <w:autoSpaceDE w:val="0"/>
              <w:autoSpaceDN w:val="0"/>
              <w:adjustRightInd w:val="0"/>
              <w:ind w:left="298" w:hanging="283"/>
              <w:jc w:val="both"/>
              <w:rPr>
                <w:i/>
                <w:sz w:val="22"/>
                <w:szCs w:val="22"/>
              </w:rPr>
            </w:pPr>
            <w:r w:rsidRPr="00B511BD">
              <w:rPr>
                <w:i/>
                <w:sz w:val="22"/>
                <w:szCs w:val="22"/>
              </w:rPr>
              <w:t>Pretendents ir LV biedrības biedrs</w:t>
            </w:r>
          </w:p>
          <w:p w14:paraId="4C7341BC" w14:textId="549AC976" w:rsidR="002A6D87" w:rsidRPr="00B511BD" w:rsidRDefault="00BF3C51" w:rsidP="002C4871">
            <w:pPr>
              <w:numPr>
                <w:ilvl w:val="0"/>
                <w:numId w:val="11"/>
              </w:numPr>
              <w:autoSpaceDE w:val="0"/>
              <w:autoSpaceDN w:val="0"/>
              <w:adjustRightInd w:val="0"/>
              <w:ind w:left="298" w:hanging="283"/>
              <w:jc w:val="both"/>
              <w:rPr>
                <w:i/>
                <w:sz w:val="22"/>
                <w:szCs w:val="22"/>
              </w:rPr>
            </w:pPr>
            <w:r w:rsidRPr="00467B77">
              <w:rPr>
                <w:i/>
                <w:sz w:val="22"/>
                <w:szCs w:val="22"/>
              </w:rPr>
              <w:t>Atsaucoties uz LV normatīvajiem aktiem, definētas ārvalstu piegādātājus diskriminējošas prasības</w:t>
            </w:r>
          </w:p>
          <w:p w14:paraId="7CADB7AA" w14:textId="1FC9194A" w:rsidR="002A6D87" w:rsidRPr="00B511BD" w:rsidRDefault="001930D9" w:rsidP="002A6D87">
            <w:pPr>
              <w:autoSpaceDE w:val="0"/>
              <w:autoSpaceDN w:val="0"/>
              <w:adjustRightInd w:val="0"/>
              <w:ind w:left="582"/>
              <w:jc w:val="both"/>
              <w:rPr>
                <w:sz w:val="22"/>
                <w:szCs w:val="22"/>
              </w:rPr>
            </w:pPr>
            <w:r w:rsidRPr="00D317F6">
              <w:rPr>
                <w:sz w:val="22"/>
                <w:szCs w:val="22"/>
              </w:rPr>
              <w:t>Prasīta pieredze ar publiskām ēkām un konkursa dokumentācij</w:t>
            </w:r>
            <w:r w:rsidR="00D317F6" w:rsidRPr="00D317F6">
              <w:rPr>
                <w:sz w:val="22"/>
                <w:szCs w:val="22"/>
              </w:rPr>
              <w:t>ā</w:t>
            </w:r>
            <w:r w:rsidRPr="00B511BD">
              <w:rPr>
                <w:sz w:val="22"/>
                <w:szCs w:val="22"/>
              </w:rPr>
              <w:t xml:space="preserve"> </w:t>
            </w:r>
            <w:r w:rsidR="002A6D87" w:rsidRPr="00B511BD">
              <w:rPr>
                <w:sz w:val="22"/>
                <w:szCs w:val="22"/>
              </w:rPr>
              <w:t xml:space="preserve">noteikts, ka par publiskām ēkām tiek uzskatītas </w:t>
            </w:r>
            <w:r w:rsidR="002A6D87" w:rsidRPr="00D317F6">
              <w:rPr>
                <w:i/>
                <w:sz w:val="22"/>
                <w:szCs w:val="22"/>
              </w:rPr>
              <w:t>tikai tādas ēkas, kuras atbilst Ministru kabineta 2008. gada 21. jūlija noteikumiem Nr. 567 «Noteikumi par Latvijas būvnormatīvu LBN 208-08 “Publiskas ēkas un būves”»</w:t>
            </w:r>
          </w:p>
          <w:p w14:paraId="2F6BE3F4" w14:textId="77777777" w:rsidR="002A6D87" w:rsidRPr="00140F35" w:rsidRDefault="002A6D87" w:rsidP="002C4871">
            <w:pPr>
              <w:numPr>
                <w:ilvl w:val="0"/>
                <w:numId w:val="11"/>
              </w:numPr>
              <w:autoSpaceDE w:val="0"/>
              <w:autoSpaceDN w:val="0"/>
              <w:adjustRightInd w:val="0"/>
              <w:ind w:left="298" w:hanging="298"/>
              <w:jc w:val="both"/>
              <w:rPr>
                <w:sz w:val="22"/>
                <w:szCs w:val="22"/>
              </w:rPr>
            </w:pPr>
            <w:r w:rsidRPr="00B511BD">
              <w:rPr>
                <w:i/>
                <w:sz w:val="22"/>
                <w:szCs w:val="22"/>
              </w:rPr>
              <w:t>Speciālistiem ir latviešu valodas zināšanas (ja tas nav tieši saistīts ar iepirkuma priekšmetu)</w:t>
            </w:r>
          </w:p>
          <w:p w14:paraId="380E5C9F" w14:textId="77777777" w:rsidR="002A6D87" w:rsidRDefault="002A6D87" w:rsidP="002A6D87">
            <w:pPr>
              <w:jc w:val="both"/>
              <w:rPr>
                <w:sz w:val="22"/>
                <w:szCs w:val="22"/>
              </w:rPr>
            </w:pPr>
          </w:p>
        </w:tc>
        <w:tc>
          <w:tcPr>
            <w:tcW w:w="912" w:type="pct"/>
            <w:tcBorders>
              <w:bottom w:val="single" w:sz="4" w:space="0" w:color="auto"/>
            </w:tcBorders>
          </w:tcPr>
          <w:p w14:paraId="5914D065" w14:textId="77777777" w:rsidR="002A6D87" w:rsidRPr="008269B6" w:rsidRDefault="002A6D87" w:rsidP="002A6D87">
            <w:pPr>
              <w:jc w:val="both"/>
              <w:rPr>
                <w:sz w:val="22"/>
                <w:szCs w:val="22"/>
              </w:rPr>
            </w:pPr>
            <w:r w:rsidRPr="008269B6">
              <w:rPr>
                <w:sz w:val="22"/>
                <w:szCs w:val="22"/>
              </w:rPr>
              <w:t>25%</w:t>
            </w:r>
          </w:p>
          <w:p w14:paraId="0E8B9AD8" w14:textId="77777777" w:rsidR="002A6D87" w:rsidRPr="008269B6" w:rsidRDefault="002A6D87" w:rsidP="002A6D87">
            <w:pPr>
              <w:jc w:val="both"/>
              <w:rPr>
                <w:sz w:val="22"/>
                <w:szCs w:val="22"/>
              </w:rPr>
            </w:pPr>
          </w:p>
          <w:p w14:paraId="1A041089" w14:textId="1CC01661" w:rsidR="002A6D87" w:rsidRPr="00565AD8" w:rsidRDefault="002A6D87" w:rsidP="002A6D87">
            <w:pPr>
              <w:jc w:val="both"/>
              <w:rPr>
                <w:sz w:val="22"/>
                <w:szCs w:val="22"/>
              </w:rPr>
            </w:pPr>
            <w:r w:rsidRPr="008269B6">
              <w:rPr>
                <w:sz w:val="22"/>
                <w:szCs w:val="22"/>
              </w:rPr>
              <w:t>Var samazināt uz 10% vai 5%</w:t>
            </w:r>
            <w:r>
              <w:rPr>
                <w:sz w:val="22"/>
                <w:szCs w:val="22"/>
              </w:rPr>
              <w:t xml:space="preserve"> finanšu korekciju</w:t>
            </w:r>
            <w:r w:rsidRPr="008269B6">
              <w:rPr>
                <w:sz w:val="22"/>
                <w:szCs w:val="22"/>
              </w:rPr>
              <w:t>, atkarībā</w:t>
            </w:r>
            <w:r>
              <w:rPr>
                <w:sz w:val="22"/>
                <w:szCs w:val="22"/>
              </w:rPr>
              <w:t xml:space="preserve"> </w:t>
            </w:r>
            <w:r w:rsidRPr="008269B6">
              <w:rPr>
                <w:sz w:val="22"/>
                <w:szCs w:val="22"/>
              </w:rPr>
              <w:t xml:space="preserve">no </w:t>
            </w:r>
            <w:r>
              <w:rPr>
                <w:sz w:val="22"/>
                <w:szCs w:val="22"/>
              </w:rPr>
              <w:t xml:space="preserve">pārkāpuma būtiskuma, </w:t>
            </w:r>
            <w:r w:rsidRPr="00140F35">
              <w:rPr>
                <w:sz w:val="22"/>
                <w:szCs w:val="22"/>
              </w:rPr>
              <w:t>piemēram, ja iepirkums ir zem ES direktīvu sliekšņiem un pastāv maza varbūtība, ka tādējādi tirgus ir ietekmēts.</w:t>
            </w:r>
          </w:p>
        </w:tc>
      </w:tr>
      <w:tr w:rsidR="002A6D87" w:rsidRPr="009D07C7" w14:paraId="6AD52F3B" w14:textId="77777777" w:rsidTr="00952CF5">
        <w:trPr>
          <w:trHeight w:val="332"/>
        </w:trPr>
        <w:tc>
          <w:tcPr>
            <w:tcW w:w="276" w:type="pct"/>
            <w:tcBorders>
              <w:bottom w:val="single" w:sz="4" w:space="0" w:color="auto"/>
            </w:tcBorders>
          </w:tcPr>
          <w:p w14:paraId="2F44281A" w14:textId="77777777" w:rsidR="002A6D87" w:rsidRPr="009D07C7" w:rsidRDefault="002A6D87" w:rsidP="002A6D87">
            <w:pPr>
              <w:numPr>
                <w:ilvl w:val="0"/>
                <w:numId w:val="1"/>
              </w:numPr>
              <w:rPr>
                <w:sz w:val="22"/>
                <w:szCs w:val="22"/>
              </w:rPr>
            </w:pPr>
          </w:p>
        </w:tc>
        <w:tc>
          <w:tcPr>
            <w:tcW w:w="1726" w:type="pct"/>
            <w:tcBorders>
              <w:bottom w:val="single" w:sz="4" w:space="0" w:color="auto"/>
            </w:tcBorders>
          </w:tcPr>
          <w:p w14:paraId="719E0A64" w14:textId="4DF0588D" w:rsidR="002A6D87" w:rsidRDefault="002A6D87" w:rsidP="002A6D87">
            <w:pPr>
              <w:jc w:val="both"/>
              <w:rPr>
                <w:sz w:val="22"/>
                <w:szCs w:val="22"/>
              </w:rPr>
            </w:pPr>
            <w:r w:rsidRPr="00F54D43">
              <w:rPr>
                <w:sz w:val="22"/>
                <w:szCs w:val="22"/>
              </w:rPr>
              <w:t xml:space="preserve">Atlases kritēriji nav saistīti </w:t>
            </w:r>
            <w:r w:rsidR="00BE16BD">
              <w:rPr>
                <w:sz w:val="22"/>
                <w:szCs w:val="22"/>
              </w:rPr>
              <w:t>vai</w:t>
            </w:r>
            <w:r w:rsidR="00BE16BD" w:rsidRPr="00F54D43">
              <w:rPr>
                <w:sz w:val="22"/>
                <w:szCs w:val="22"/>
              </w:rPr>
              <w:t xml:space="preserve"> </w:t>
            </w:r>
            <w:r>
              <w:rPr>
                <w:sz w:val="22"/>
                <w:szCs w:val="22"/>
              </w:rPr>
              <w:t xml:space="preserve">nav </w:t>
            </w:r>
            <w:r w:rsidRPr="00F54D43">
              <w:rPr>
                <w:sz w:val="22"/>
                <w:szCs w:val="22"/>
              </w:rPr>
              <w:t>samērīgi ar</w:t>
            </w:r>
            <w:r>
              <w:rPr>
                <w:sz w:val="22"/>
                <w:szCs w:val="22"/>
              </w:rPr>
              <w:t xml:space="preserve"> līguma priekšmetu</w:t>
            </w:r>
          </w:p>
          <w:p w14:paraId="57019E28" w14:textId="77777777" w:rsidR="002A6D87" w:rsidRDefault="002A6D87" w:rsidP="002A6D87">
            <w:pPr>
              <w:jc w:val="both"/>
              <w:rPr>
                <w:sz w:val="22"/>
                <w:szCs w:val="22"/>
              </w:rPr>
            </w:pPr>
          </w:p>
          <w:p w14:paraId="741D39DF" w14:textId="77777777" w:rsidR="002A6D87" w:rsidRPr="0010789B" w:rsidRDefault="002A6D87" w:rsidP="002A6D87">
            <w:pPr>
              <w:jc w:val="both"/>
              <w:rPr>
                <w:i/>
                <w:sz w:val="22"/>
                <w:szCs w:val="22"/>
              </w:rPr>
            </w:pPr>
            <w:r>
              <w:rPr>
                <w:i/>
                <w:sz w:val="22"/>
                <w:szCs w:val="22"/>
              </w:rPr>
              <w:t>Direktīvas Nr.2014/24/ES 58(1).pants un 58(5).pants</w:t>
            </w:r>
          </w:p>
          <w:p w14:paraId="20421BF2" w14:textId="77777777" w:rsidR="002A6D87" w:rsidRDefault="002A6D87" w:rsidP="002A6D87">
            <w:pPr>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78(1). pants</w:t>
            </w:r>
          </w:p>
          <w:p w14:paraId="64C32C62" w14:textId="2336D72D" w:rsidR="002A6D87" w:rsidRPr="007F4E24" w:rsidRDefault="002A6D87" w:rsidP="002A6D87">
            <w:pPr>
              <w:jc w:val="both"/>
              <w:rPr>
                <w:sz w:val="22"/>
                <w:szCs w:val="22"/>
              </w:rPr>
            </w:pPr>
            <w:r w:rsidRPr="00A2172D">
              <w:rPr>
                <w:sz w:val="22"/>
                <w:szCs w:val="22"/>
              </w:rPr>
              <w:t xml:space="preserve">(EK 19.12.2013. vadlīniju  2.1.sadaļas </w:t>
            </w:r>
            <w:r>
              <w:rPr>
                <w:sz w:val="22"/>
                <w:szCs w:val="22"/>
              </w:rPr>
              <w:t>10</w:t>
            </w:r>
            <w:r w:rsidRPr="00A2172D">
              <w:rPr>
                <w:sz w:val="22"/>
                <w:szCs w:val="22"/>
              </w:rPr>
              <w:t>.punkts)</w:t>
            </w:r>
          </w:p>
        </w:tc>
        <w:tc>
          <w:tcPr>
            <w:tcW w:w="2086" w:type="pct"/>
            <w:gridSpan w:val="2"/>
            <w:tcBorders>
              <w:bottom w:val="single" w:sz="4" w:space="0" w:color="auto"/>
            </w:tcBorders>
          </w:tcPr>
          <w:p w14:paraId="09E99F09" w14:textId="31E66861" w:rsidR="002A6D87" w:rsidRDefault="002A6D87" w:rsidP="002A6D87">
            <w:pPr>
              <w:jc w:val="both"/>
              <w:rPr>
                <w:sz w:val="22"/>
                <w:szCs w:val="22"/>
              </w:rPr>
            </w:pPr>
            <w:r>
              <w:rPr>
                <w:sz w:val="22"/>
                <w:szCs w:val="22"/>
              </w:rPr>
              <w:t xml:space="preserve">Gadījumos, kad </w:t>
            </w:r>
            <w:r w:rsidRPr="002F4016">
              <w:rPr>
                <w:sz w:val="22"/>
                <w:szCs w:val="22"/>
              </w:rPr>
              <w:t>var tikt pierādīts, ka</w:t>
            </w:r>
            <w:r>
              <w:rPr>
                <w:sz w:val="22"/>
                <w:szCs w:val="22"/>
              </w:rPr>
              <w:t xml:space="preserve"> konkrētā līguma izpildes </w:t>
            </w:r>
            <w:r w:rsidRPr="002F4016">
              <w:rPr>
                <w:sz w:val="22"/>
                <w:szCs w:val="22"/>
              </w:rPr>
              <w:t>spēju minimāl</w:t>
            </w:r>
            <w:r>
              <w:rPr>
                <w:sz w:val="22"/>
                <w:szCs w:val="22"/>
              </w:rPr>
              <w:t>ās prasības</w:t>
            </w:r>
            <w:r w:rsidR="008137F9">
              <w:rPr>
                <w:sz w:val="22"/>
                <w:szCs w:val="22"/>
              </w:rPr>
              <w:t>/</w:t>
            </w:r>
            <w:r w:rsidRPr="002F4016">
              <w:rPr>
                <w:sz w:val="22"/>
                <w:szCs w:val="22"/>
              </w:rPr>
              <w:t>līmenis nav saistīt</w:t>
            </w:r>
            <w:r>
              <w:rPr>
                <w:sz w:val="22"/>
                <w:szCs w:val="22"/>
              </w:rPr>
              <w:t>s</w:t>
            </w:r>
            <w:r w:rsidR="008137F9">
              <w:rPr>
                <w:sz w:val="22"/>
                <w:szCs w:val="22"/>
              </w:rPr>
              <w:t xml:space="preserve"> </w:t>
            </w:r>
            <w:r w:rsidR="00BE16BD">
              <w:rPr>
                <w:sz w:val="22"/>
                <w:szCs w:val="22"/>
              </w:rPr>
              <w:t>vai</w:t>
            </w:r>
            <w:r w:rsidR="00BE16BD" w:rsidRPr="002F4016">
              <w:rPr>
                <w:sz w:val="22"/>
                <w:szCs w:val="22"/>
              </w:rPr>
              <w:t xml:space="preserve"> </w:t>
            </w:r>
            <w:r w:rsidRPr="002F4016">
              <w:rPr>
                <w:sz w:val="22"/>
                <w:szCs w:val="22"/>
              </w:rPr>
              <w:t xml:space="preserve">samērīgs ar </w:t>
            </w:r>
            <w:r>
              <w:rPr>
                <w:sz w:val="22"/>
                <w:szCs w:val="22"/>
              </w:rPr>
              <w:t>līguma priekšmetu</w:t>
            </w:r>
            <w:r w:rsidRPr="002F4016">
              <w:rPr>
                <w:sz w:val="22"/>
                <w:szCs w:val="22"/>
              </w:rPr>
              <w:t>, līdz ar to nav</w:t>
            </w:r>
            <w:r w:rsidR="008137F9">
              <w:rPr>
                <w:sz w:val="22"/>
                <w:szCs w:val="22"/>
              </w:rPr>
              <w:t xml:space="preserve"> </w:t>
            </w:r>
            <w:r w:rsidRPr="002F4016">
              <w:rPr>
                <w:sz w:val="22"/>
                <w:szCs w:val="22"/>
              </w:rPr>
              <w:t>nodrošin</w:t>
            </w:r>
            <w:r>
              <w:rPr>
                <w:sz w:val="22"/>
                <w:szCs w:val="22"/>
              </w:rPr>
              <w:t>ātas</w:t>
            </w:r>
            <w:r w:rsidRPr="002F4016">
              <w:rPr>
                <w:sz w:val="22"/>
                <w:szCs w:val="22"/>
              </w:rPr>
              <w:t xml:space="preserve"> vienādas iespējas visiem </w:t>
            </w:r>
            <w:r>
              <w:rPr>
                <w:sz w:val="22"/>
                <w:szCs w:val="22"/>
              </w:rPr>
              <w:t xml:space="preserve">ieinteresētajiem piegādātājiem </w:t>
            </w:r>
            <w:r w:rsidRPr="002F4016">
              <w:rPr>
                <w:sz w:val="22"/>
                <w:szCs w:val="22"/>
              </w:rPr>
              <w:t xml:space="preserve">vai </w:t>
            </w:r>
            <w:r>
              <w:rPr>
                <w:sz w:val="22"/>
                <w:szCs w:val="22"/>
              </w:rPr>
              <w:t>publiskajā iepirkumā</w:t>
            </w:r>
            <w:r w:rsidRPr="00294BCF">
              <w:rPr>
                <w:sz w:val="22"/>
                <w:szCs w:val="22"/>
              </w:rPr>
              <w:t xml:space="preserve"> ir</w:t>
            </w:r>
            <w:r w:rsidR="00F44B11">
              <w:rPr>
                <w:sz w:val="22"/>
                <w:szCs w:val="22"/>
              </w:rPr>
              <w:t xml:space="preserve"> </w:t>
            </w:r>
            <w:r w:rsidRPr="00294BCF">
              <w:rPr>
                <w:sz w:val="22"/>
                <w:szCs w:val="22"/>
              </w:rPr>
              <w:t>radīt</w:t>
            </w:r>
            <w:r>
              <w:rPr>
                <w:sz w:val="22"/>
                <w:szCs w:val="22"/>
              </w:rPr>
              <w:t>i</w:t>
            </w:r>
            <w:r w:rsidRPr="00294BCF">
              <w:rPr>
                <w:sz w:val="22"/>
                <w:szCs w:val="22"/>
              </w:rPr>
              <w:t xml:space="preserve"> nepamatot</w:t>
            </w:r>
            <w:r>
              <w:rPr>
                <w:sz w:val="22"/>
                <w:szCs w:val="22"/>
              </w:rPr>
              <w:t>i</w:t>
            </w:r>
            <w:r w:rsidRPr="00294BCF">
              <w:rPr>
                <w:sz w:val="22"/>
                <w:szCs w:val="22"/>
              </w:rPr>
              <w:t xml:space="preserve"> šķēršļi</w:t>
            </w:r>
            <w:r>
              <w:rPr>
                <w:sz w:val="22"/>
                <w:szCs w:val="22"/>
              </w:rPr>
              <w:t xml:space="preserve"> atvērtai iepirkuma procedūrai.</w:t>
            </w:r>
          </w:p>
          <w:p w14:paraId="6286CCE5" w14:textId="77777777" w:rsidR="002A6D87" w:rsidRDefault="002A6D87" w:rsidP="002A6D87">
            <w:pPr>
              <w:jc w:val="both"/>
              <w:rPr>
                <w:sz w:val="22"/>
                <w:szCs w:val="22"/>
              </w:rPr>
            </w:pPr>
          </w:p>
          <w:p w14:paraId="686F68F9" w14:textId="0EFD49FF" w:rsidR="002A6D87" w:rsidRPr="00B511BD" w:rsidRDefault="00594357" w:rsidP="002A6D87">
            <w:pPr>
              <w:jc w:val="both"/>
              <w:rPr>
                <w:sz w:val="22"/>
                <w:szCs w:val="22"/>
              </w:rPr>
            </w:pPr>
            <w:r w:rsidRPr="009A25ED">
              <w:rPr>
                <w:color w:val="000000" w:themeColor="text1"/>
                <w:sz w:val="22"/>
                <w:szCs w:val="22"/>
              </w:rPr>
              <w:t xml:space="preserve">Samazinātu finanšu korekciju var piemērot, ja ir bijusi pietiekama konkurence (vismaz trīs </w:t>
            </w:r>
            <w:r w:rsidR="008137F9">
              <w:rPr>
                <w:sz w:val="22"/>
                <w:szCs w:val="22"/>
              </w:rPr>
              <w:t>piegādātāji</w:t>
            </w:r>
            <w:r w:rsidRPr="009A25ED">
              <w:rPr>
                <w:color w:val="000000" w:themeColor="text1"/>
                <w:sz w:val="22"/>
                <w:szCs w:val="22"/>
              </w:rPr>
              <w:t xml:space="preserve">; vai divi </w:t>
            </w:r>
            <w:r w:rsidR="008137F9">
              <w:rPr>
                <w:sz w:val="22"/>
                <w:szCs w:val="22"/>
              </w:rPr>
              <w:t>piegādātāji</w:t>
            </w:r>
            <w:r w:rsidRPr="009A25ED">
              <w:rPr>
                <w:color w:val="000000" w:themeColor="text1"/>
                <w:sz w:val="22"/>
                <w:szCs w:val="22"/>
              </w:rPr>
              <w:t xml:space="preserve">, bet, piemēram, </w:t>
            </w:r>
            <w:r w:rsidR="00B51606">
              <w:rPr>
                <w:color w:val="000000" w:themeColor="text1"/>
                <w:sz w:val="22"/>
                <w:szCs w:val="22"/>
              </w:rPr>
              <w:t>līgumslēdzēja iestāde</w:t>
            </w:r>
            <w:r w:rsidRPr="009A25ED">
              <w:rPr>
                <w:color w:val="000000" w:themeColor="text1"/>
                <w:sz w:val="22"/>
                <w:szCs w:val="22"/>
              </w:rPr>
              <w:t xml:space="preserve"> sagatavotā tirgus izpēte liecina, ka tirgū ir pietiekams skaits prasībām atbilstošu </w:t>
            </w:r>
            <w:r w:rsidR="008137F9">
              <w:rPr>
                <w:sz w:val="22"/>
                <w:szCs w:val="22"/>
              </w:rPr>
              <w:t xml:space="preserve">piegādātāju </w:t>
            </w:r>
            <w:r w:rsidRPr="009A25ED">
              <w:rPr>
                <w:color w:val="000000" w:themeColor="text1"/>
                <w:sz w:val="22"/>
                <w:szCs w:val="22"/>
              </w:rPr>
              <w:t>un mazā konkurence ir izskaidrojama ar citiem faktoriem), prasīto pieredzi ir bijis iespējams iegūt, kā arī jāņem vērā paša iepirkuma specifiku un pārējās prasības</w:t>
            </w:r>
            <w:r>
              <w:rPr>
                <w:color w:val="000000" w:themeColor="text1"/>
                <w:sz w:val="22"/>
                <w:szCs w:val="22"/>
              </w:rPr>
              <w:t xml:space="preserve">. </w:t>
            </w:r>
            <w:r w:rsidR="002A6D87">
              <w:rPr>
                <w:sz w:val="22"/>
                <w:szCs w:val="22"/>
              </w:rPr>
              <w:t xml:space="preserve">Kā piemēri minami </w:t>
            </w:r>
            <w:r w:rsidR="002A6D87" w:rsidRPr="00B511BD">
              <w:rPr>
                <w:sz w:val="22"/>
                <w:szCs w:val="22"/>
              </w:rPr>
              <w:t>šādi gadījumi:</w:t>
            </w:r>
          </w:p>
          <w:p w14:paraId="151AF4FF" w14:textId="201218E7" w:rsidR="002A6D87" w:rsidRDefault="002A6D87" w:rsidP="002C4871">
            <w:pPr>
              <w:numPr>
                <w:ilvl w:val="0"/>
                <w:numId w:val="11"/>
              </w:numPr>
              <w:autoSpaceDE w:val="0"/>
              <w:autoSpaceDN w:val="0"/>
              <w:adjustRightInd w:val="0"/>
              <w:ind w:left="298" w:hanging="298"/>
              <w:jc w:val="both"/>
              <w:rPr>
                <w:i/>
                <w:sz w:val="22"/>
                <w:szCs w:val="22"/>
              </w:rPr>
            </w:pPr>
            <w:r w:rsidRPr="00B511BD">
              <w:rPr>
                <w:i/>
                <w:sz w:val="22"/>
                <w:szCs w:val="22"/>
              </w:rPr>
              <w:t>Pieredze ES fondu finansētu projektu administrēšanā (bez citiem finanšu instrumentiem)</w:t>
            </w:r>
          </w:p>
          <w:p w14:paraId="0CEF15B5" w14:textId="6D1D0146" w:rsidR="00810444" w:rsidRPr="00810444" w:rsidRDefault="00810444" w:rsidP="00810444">
            <w:pPr>
              <w:pStyle w:val="CommentText"/>
              <w:ind w:left="573"/>
              <w:jc w:val="both"/>
              <w:rPr>
                <w:sz w:val="22"/>
                <w:szCs w:val="22"/>
              </w:rPr>
            </w:pPr>
            <w:r w:rsidRPr="004C677A">
              <w:rPr>
                <w:sz w:val="22"/>
                <w:szCs w:val="22"/>
                <w:u w:val="single"/>
              </w:rPr>
              <w:t>Ir iespējami izņēmumi:</w:t>
            </w:r>
            <w:r w:rsidRPr="00810444">
              <w:rPr>
                <w:sz w:val="22"/>
                <w:szCs w:val="22"/>
              </w:rPr>
              <w:t xml:space="preserve"> īpaši pamatotos gadījumos šādas prasības varētu tikt noteiktas, ja bez attiecīgs pieredzes nav iespējama kvalitatīva darbu  izpilde (protams, </w:t>
            </w:r>
            <w:r w:rsidR="00B51606">
              <w:rPr>
                <w:color w:val="000000" w:themeColor="text1"/>
                <w:sz w:val="22"/>
                <w:szCs w:val="22"/>
              </w:rPr>
              <w:t>līgumslēdzēja iestādei</w:t>
            </w:r>
            <w:r w:rsidR="00B51606" w:rsidRPr="009A25ED">
              <w:rPr>
                <w:color w:val="000000" w:themeColor="text1"/>
                <w:sz w:val="22"/>
                <w:szCs w:val="22"/>
              </w:rPr>
              <w:t xml:space="preserve"> </w:t>
            </w:r>
            <w:r w:rsidRPr="00810444">
              <w:rPr>
                <w:sz w:val="22"/>
                <w:szCs w:val="22"/>
              </w:rPr>
              <w:t>tas ir jāspēj pierādīt).</w:t>
            </w:r>
          </w:p>
          <w:p w14:paraId="46359AA0" w14:textId="576DDF85" w:rsidR="002A6D87" w:rsidRDefault="002A6D87" w:rsidP="002C4871">
            <w:pPr>
              <w:numPr>
                <w:ilvl w:val="0"/>
                <w:numId w:val="11"/>
              </w:numPr>
              <w:autoSpaceDE w:val="0"/>
              <w:autoSpaceDN w:val="0"/>
              <w:adjustRightInd w:val="0"/>
              <w:ind w:left="298" w:hanging="298"/>
              <w:jc w:val="both"/>
              <w:rPr>
                <w:i/>
                <w:sz w:val="22"/>
                <w:szCs w:val="22"/>
              </w:rPr>
            </w:pPr>
            <w:r w:rsidRPr="00B511BD">
              <w:rPr>
                <w:i/>
                <w:sz w:val="22"/>
                <w:szCs w:val="22"/>
              </w:rPr>
              <w:t xml:space="preserve">Finanšu apgrozījums vairāk kā divas reizes pārsniedz paredzamo cenu </w:t>
            </w:r>
          </w:p>
          <w:p w14:paraId="2D24D340" w14:textId="50498D93" w:rsidR="004C677A" w:rsidRPr="00B511BD" w:rsidRDefault="004C677A" w:rsidP="004C677A">
            <w:pPr>
              <w:autoSpaceDE w:val="0"/>
              <w:autoSpaceDN w:val="0"/>
              <w:adjustRightInd w:val="0"/>
              <w:ind w:left="573"/>
              <w:jc w:val="both"/>
              <w:rPr>
                <w:i/>
                <w:sz w:val="22"/>
                <w:szCs w:val="22"/>
              </w:rPr>
            </w:pPr>
            <w:r w:rsidRPr="004C677A">
              <w:rPr>
                <w:sz w:val="22"/>
                <w:szCs w:val="22"/>
                <w:u w:val="single"/>
              </w:rPr>
              <w:t>Ir iespējami izņēmumi:</w:t>
            </w:r>
            <w:r w:rsidRPr="00C24666">
              <w:rPr>
                <w:b/>
              </w:rPr>
              <w:t xml:space="preserve"> </w:t>
            </w:r>
            <w:r w:rsidRPr="004C677A">
              <w:rPr>
                <w:sz w:val="22"/>
                <w:szCs w:val="22"/>
              </w:rPr>
              <w:t>gadījumi, kad  iepirkuma līguma izpilde ir saistīta ar īpašiem riskiem attiecīgo būvdarbu, pakalpojumu vai piegāžu rakstura dēļ; pamatojums izņēmuma piemērošanai jānorāda iepirkuma procedūras dokumentos</w:t>
            </w:r>
            <w:r>
              <w:rPr>
                <w:sz w:val="22"/>
                <w:szCs w:val="22"/>
              </w:rPr>
              <w:t>.</w:t>
            </w:r>
          </w:p>
          <w:p w14:paraId="1179CA9D" w14:textId="3FD0F827" w:rsidR="002A6D87" w:rsidRPr="00B511BD" w:rsidRDefault="001D305E" w:rsidP="002C4871">
            <w:pPr>
              <w:numPr>
                <w:ilvl w:val="0"/>
                <w:numId w:val="11"/>
              </w:numPr>
              <w:autoSpaceDE w:val="0"/>
              <w:autoSpaceDN w:val="0"/>
              <w:adjustRightInd w:val="0"/>
              <w:ind w:left="298" w:hanging="298"/>
              <w:jc w:val="both"/>
              <w:rPr>
                <w:i/>
                <w:sz w:val="22"/>
                <w:szCs w:val="22"/>
              </w:rPr>
            </w:pPr>
            <w:r>
              <w:rPr>
                <w:i/>
                <w:sz w:val="22"/>
                <w:szCs w:val="22"/>
              </w:rPr>
              <w:t>Pieredze konkrētos objektos</w:t>
            </w:r>
          </w:p>
          <w:p w14:paraId="085E9E63" w14:textId="304AB9BC" w:rsidR="002A6D87" w:rsidRPr="009A0DBC" w:rsidRDefault="002A6D87" w:rsidP="002A6D87">
            <w:pPr>
              <w:autoSpaceDE w:val="0"/>
              <w:autoSpaceDN w:val="0"/>
              <w:adjustRightInd w:val="0"/>
              <w:ind w:left="582"/>
              <w:jc w:val="both"/>
              <w:rPr>
                <w:sz w:val="22"/>
                <w:szCs w:val="22"/>
              </w:rPr>
            </w:pPr>
            <w:r w:rsidRPr="00B511BD">
              <w:rPr>
                <w:sz w:val="22"/>
                <w:szCs w:val="22"/>
              </w:rPr>
              <w:t xml:space="preserve">Iepirkuma par skolas ēkas renovāciju nolikumā noteikts, ka pretendentam ir jābūt pieredzei līdzīgas nozīmes objektos. Par </w:t>
            </w:r>
            <w:r w:rsidRPr="009A0DBC">
              <w:rPr>
                <w:sz w:val="22"/>
                <w:szCs w:val="22"/>
              </w:rPr>
              <w:t xml:space="preserve">līdzīgiem / līdzvērtīgiem </w:t>
            </w:r>
            <w:r w:rsidR="002B239D">
              <w:rPr>
                <w:sz w:val="22"/>
                <w:szCs w:val="22"/>
              </w:rPr>
              <w:t>līgumslēdzēja iestāde</w:t>
            </w:r>
            <w:r w:rsidRPr="009A0DBC">
              <w:rPr>
                <w:sz w:val="22"/>
                <w:szCs w:val="22"/>
              </w:rPr>
              <w:t xml:space="preserve"> atzīs objektus, kuros pretendentam ir pieredze  </w:t>
            </w:r>
            <w:r w:rsidRPr="009A0DBC">
              <w:rPr>
                <w:i/>
                <w:sz w:val="22"/>
                <w:szCs w:val="22"/>
              </w:rPr>
              <w:t>skolas ēku</w:t>
            </w:r>
            <w:r w:rsidRPr="009A0DBC">
              <w:rPr>
                <w:sz w:val="22"/>
                <w:szCs w:val="22"/>
              </w:rPr>
              <w:t xml:space="preserve"> vienkāršotas atjaunošanas,  pārbūves vai jaunbūves būvdarbu veikšanā.</w:t>
            </w:r>
          </w:p>
          <w:p w14:paraId="30EEFC08" w14:textId="55D87535" w:rsidR="002A6D87" w:rsidRPr="009A0DBC" w:rsidRDefault="009A0DBC" w:rsidP="002C4871">
            <w:pPr>
              <w:numPr>
                <w:ilvl w:val="0"/>
                <w:numId w:val="11"/>
              </w:numPr>
              <w:autoSpaceDE w:val="0"/>
              <w:autoSpaceDN w:val="0"/>
              <w:adjustRightInd w:val="0"/>
              <w:ind w:left="298" w:hanging="298"/>
              <w:jc w:val="both"/>
              <w:rPr>
                <w:i/>
                <w:sz w:val="22"/>
                <w:szCs w:val="22"/>
              </w:rPr>
            </w:pPr>
            <w:r w:rsidRPr="009A0DBC">
              <w:rPr>
                <w:i/>
                <w:sz w:val="22"/>
                <w:szCs w:val="22"/>
              </w:rPr>
              <w:t>Noteiktas vairākas specifiskas prasības iepriekšējai pretendenta pieredzei attiecībā uz līguma izpildē nepieciešamajiem darbiem ar konkrētiem tehniskajiem parametriem katrā no noteikta skaita projektiem,  nepastāvot šādu  prasību objektīvam pamatojumam (nepieciešamībai)</w:t>
            </w:r>
            <w:r w:rsidR="00775866">
              <w:rPr>
                <w:i/>
                <w:sz w:val="22"/>
                <w:szCs w:val="22"/>
              </w:rPr>
              <w:t>;</w:t>
            </w:r>
          </w:p>
          <w:p w14:paraId="5B477DFF" w14:textId="07845016" w:rsidR="002A6D87" w:rsidRPr="00B511BD" w:rsidRDefault="002A6D87" w:rsidP="002C4871">
            <w:pPr>
              <w:numPr>
                <w:ilvl w:val="0"/>
                <w:numId w:val="11"/>
              </w:numPr>
              <w:autoSpaceDE w:val="0"/>
              <w:autoSpaceDN w:val="0"/>
              <w:adjustRightInd w:val="0"/>
              <w:ind w:left="298" w:hanging="298"/>
              <w:jc w:val="both"/>
              <w:rPr>
                <w:i/>
                <w:sz w:val="22"/>
                <w:szCs w:val="22"/>
              </w:rPr>
            </w:pPr>
            <w:r w:rsidRPr="009A0DBC">
              <w:rPr>
                <w:i/>
                <w:sz w:val="22"/>
                <w:szCs w:val="22"/>
              </w:rPr>
              <w:t>Pieredzes apliecināšanas termiņš noteikts</w:t>
            </w:r>
            <w:r w:rsidRPr="00B511BD">
              <w:rPr>
                <w:i/>
                <w:sz w:val="22"/>
                <w:szCs w:val="22"/>
              </w:rPr>
              <w:t xml:space="preserve"> </w:t>
            </w:r>
            <w:r w:rsidR="00775866">
              <w:rPr>
                <w:i/>
                <w:sz w:val="22"/>
                <w:szCs w:val="22"/>
              </w:rPr>
              <w:t>mazāk par 3/5 gadiem;</w:t>
            </w:r>
          </w:p>
          <w:p w14:paraId="5DEFE5FF" w14:textId="7DE134E7" w:rsidR="00E53159" w:rsidRPr="00E53159" w:rsidRDefault="00E53159" w:rsidP="002C4871">
            <w:pPr>
              <w:numPr>
                <w:ilvl w:val="0"/>
                <w:numId w:val="11"/>
              </w:numPr>
              <w:autoSpaceDE w:val="0"/>
              <w:autoSpaceDN w:val="0"/>
              <w:adjustRightInd w:val="0"/>
              <w:ind w:left="298" w:hanging="298"/>
              <w:jc w:val="both"/>
              <w:rPr>
                <w:i/>
                <w:sz w:val="22"/>
                <w:szCs w:val="22"/>
              </w:rPr>
            </w:pPr>
            <w:r w:rsidRPr="00E53159">
              <w:rPr>
                <w:i/>
                <w:sz w:val="22"/>
                <w:szCs w:val="22"/>
              </w:rPr>
              <w:t>Kvalifikācijas prasības attiecinātas uz katru piegādātāju apvienības dalībnieku (vai apakšuzņēmēju)</w:t>
            </w:r>
            <w:r w:rsidR="00775866">
              <w:rPr>
                <w:i/>
                <w:sz w:val="22"/>
                <w:szCs w:val="22"/>
              </w:rPr>
              <w:t>;</w:t>
            </w:r>
          </w:p>
          <w:p w14:paraId="461FD2DF" w14:textId="69665E85" w:rsidR="002A6D87" w:rsidRPr="00B511BD" w:rsidRDefault="00775866" w:rsidP="002C4871">
            <w:pPr>
              <w:numPr>
                <w:ilvl w:val="0"/>
                <w:numId w:val="11"/>
              </w:numPr>
              <w:autoSpaceDE w:val="0"/>
              <w:autoSpaceDN w:val="0"/>
              <w:adjustRightInd w:val="0"/>
              <w:ind w:left="298" w:hanging="298"/>
              <w:jc w:val="both"/>
              <w:rPr>
                <w:i/>
                <w:sz w:val="22"/>
                <w:szCs w:val="22"/>
              </w:rPr>
            </w:pPr>
            <w:r w:rsidRPr="00775866">
              <w:rPr>
                <w:i/>
                <w:sz w:val="22"/>
                <w:szCs w:val="22"/>
              </w:rPr>
              <w:t>Prasība personu apvienībām noslēgt tieši sabiedrības līgumu, nepieļaujot iespēju izveidoties noteiktā juridiskā statusā (vai otrādi)</w:t>
            </w:r>
            <w:r w:rsidR="002A6D87" w:rsidRPr="00B511BD">
              <w:rPr>
                <w:i/>
                <w:sz w:val="22"/>
                <w:szCs w:val="22"/>
              </w:rPr>
              <w:t>;</w:t>
            </w:r>
          </w:p>
          <w:p w14:paraId="4DE996F1" w14:textId="742A2E5A" w:rsidR="002A6D87" w:rsidRPr="00A372F3" w:rsidRDefault="00775866" w:rsidP="002C4871">
            <w:pPr>
              <w:numPr>
                <w:ilvl w:val="0"/>
                <w:numId w:val="11"/>
              </w:numPr>
              <w:autoSpaceDE w:val="0"/>
              <w:autoSpaceDN w:val="0"/>
              <w:adjustRightInd w:val="0"/>
              <w:ind w:left="298" w:hanging="298"/>
              <w:jc w:val="both"/>
              <w:rPr>
                <w:i/>
                <w:sz w:val="22"/>
                <w:szCs w:val="22"/>
              </w:rPr>
            </w:pPr>
            <w:r w:rsidRPr="00775866">
              <w:rPr>
                <w:i/>
                <w:sz w:val="22"/>
                <w:szCs w:val="22"/>
              </w:rPr>
              <w:t xml:space="preserve">Prasība personu apvienībām pirms līguma noslēgšanas reģistrēties kā personālsabiedrībām, nepieļaujot iespēju </w:t>
            </w:r>
            <w:r w:rsidRPr="00A372F3">
              <w:rPr>
                <w:i/>
                <w:sz w:val="22"/>
                <w:szCs w:val="22"/>
              </w:rPr>
              <w:t>noslēgt sabiedrības līgumu</w:t>
            </w:r>
            <w:r w:rsidR="002A6D87" w:rsidRPr="00A372F3">
              <w:rPr>
                <w:i/>
                <w:sz w:val="22"/>
                <w:szCs w:val="22"/>
              </w:rPr>
              <w:t>;</w:t>
            </w:r>
          </w:p>
          <w:p w14:paraId="155084E7" w14:textId="1279DEAE" w:rsidR="002A6D87" w:rsidRPr="00A372F3" w:rsidRDefault="002A6D87" w:rsidP="002C4871">
            <w:pPr>
              <w:numPr>
                <w:ilvl w:val="0"/>
                <w:numId w:val="11"/>
              </w:numPr>
              <w:autoSpaceDE w:val="0"/>
              <w:autoSpaceDN w:val="0"/>
              <w:adjustRightInd w:val="0"/>
              <w:ind w:left="298" w:hanging="298"/>
              <w:jc w:val="both"/>
              <w:rPr>
                <w:i/>
                <w:sz w:val="22"/>
                <w:szCs w:val="22"/>
              </w:rPr>
            </w:pPr>
            <w:r w:rsidRPr="00A372F3">
              <w:rPr>
                <w:i/>
                <w:sz w:val="22"/>
                <w:szCs w:val="22"/>
              </w:rPr>
              <w:t xml:space="preserve">Iepirkumos zem ES direktīvu </w:t>
            </w:r>
            <w:r w:rsidR="00A372F3" w:rsidRPr="00A372F3">
              <w:t>līgumcenu robežvērtībām</w:t>
            </w:r>
            <w:r w:rsidR="00A372F3" w:rsidRPr="00A372F3">
              <w:rPr>
                <w:i/>
                <w:sz w:val="22"/>
                <w:szCs w:val="22"/>
              </w:rPr>
              <w:t xml:space="preserve"> </w:t>
            </w:r>
            <w:r w:rsidRPr="00A372F3">
              <w:rPr>
                <w:i/>
                <w:sz w:val="22"/>
                <w:szCs w:val="22"/>
              </w:rPr>
              <w:t xml:space="preserve">pieprasītas kvalitātes vadības sistēmas (ISO) vai vides pārvaldības sistēmas (EMAS); </w:t>
            </w:r>
          </w:p>
          <w:p w14:paraId="4D07543B" w14:textId="1FDADCDE" w:rsidR="002A6D87" w:rsidRDefault="002A6D87" w:rsidP="002C4871">
            <w:pPr>
              <w:numPr>
                <w:ilvl w:val="0"/>
                <w:numId w:val="11"/>
              </w:numPr>
              <w:autoSpaceDE w:val="0"/>
              <w:autoSpaceDN w:val="0"/>
              <w:adjustRightInd w:val="0"/>
              <w:ind w:left="298" w:hanging="298"/>
              <w:jc w:val="both"/>
              <w:rPr>
                <w:i/>
                <w:sz w:val="22"/>
                <w:szCs w:val="22"/>
              </w:rPr>
            </w:pPr>
            <w:r w:rsidRPr="00A372F3">
              <w:rPr>
                <w:i/>
                <w:sz w:val="22"/>
                <w:szCs w:val="22"/>
              </w:rPr>
              <w:t>Pieprasīts konkrētas institūcijas izsniegts sertifikāts;</w:t>
            </w:r>
          </w:p>
          <w:p w14:paraId="2E8A9B9F" w14:textId="10DD2F4E" w:rsidR="002A6D87" w:rsidRPr="00A372F3" w:rsidRDefault="00A372F3" w:rsidP="002662AB">
            <w:pPr>
              <w:numPr>
                <w:ilvl w:val="0"/>
                <w:numId w:val="11"/>
              </w:numPr>
              <w:autoSpaceDE w:val="0"/>
              <w:autoSpaceDN w:val="0"/>
              <w:adjustRightInd w:val="0"/>
              <w:ind w:left="298" w:hanging="298"/>
              <w:jc w:val="both"/>
              <w:rPr>
                <w:i/>
                <w:sz w:val="22"/>
                <w:szCs w:val="22"/>
              </w:rPr>
            </w:pPr>
            <w:r w:rsidRPr="00A372F3">
              <w:rPr>
                <w:i/>
                <w:sz w:val="22"/>
                <w:szCs w:val="22"/>
              </w:rPr>
              <w:t>Prasība attiecībā uz pretendenta/kandidāta vai tā speciālistu kvalifikācijas apliecināšanai iesniedzamajiem dokumentiem noteikta tādējādi, ka netiek pieļauta arī alternatīvu dokumentu iesniegšana, kas pēc būtības apliecina nepieciešamo kvalifikāciju</w:t>
            </w:r>
            <w:r w:rsidR="002662AB">
              <w:rPr>
                <w:i/>
                <w:sz w:val="22"/>
                <w:szCs w:val="22"/>
              </w:rPr>
              <w:t>, ja prasītie dokumenti nav pieejami</w:t>
            </w:r>
            <w:r w:rsidRPr="00A372F3">
              <w:rPr>
                <w:i/>
                <w:sz w:val="22"/>
                <w:szCs w:val="22"/>
              </w:rPr>
              <w:t>.</w:t>
            </w:r>
          </w:p>
        </w:tc>
        <w:tc>
          <w:tcPr>
            <w:tcW w:w="912" w:type="pct"/>
            <w:tcBorders>
              <w:bottom w:val="single" w:sz="4" w:space="0" w:color="auto"/>
            </w:tcBorders>
          </w:tcPr>
          <w:p w14:paraId="38968087" w14:textId="77777777" w:rsidR="002A6D87" w:rsidRPr="008269B6" w:rsidRDefault="002A6D87" w:rsidP="002A6D87">
            <w:pPr>
              <w:jc w:val="both"/>
              <w:rPr>
                <w:sz w:val="22"/>
                <w:szCs w:val="22"/>
              </w:rPr>
            </w:pPr>
            <w:r w:rsidRPr="008269B6">
              <w:rPr>
                <w:sz w:val="22"/>
                <w:szCs w:val="22"/>
              </w:rPr>
              <w:t>25%</w:t>
            </w:r>
          </w:p>
          <w:p w14:paraId="00CD86BA" w14:textId="77777777" w:rsidR="002A6D87" w:rsidRPr="008269B6" w:rsidRDefault="002A6D87" w:rsidP="002A6D87">
            <w:pPr>
              <w:jc w:val="both"/>
              <w:rPr>
                <w:sz w:val="22"/>
                <w:szCs w:val="22"/>
              </w:rPr>
            </w:pPr>
          </w:p>
          <w:p w14:paraId="67B62C37" w14:textId="77777777" w:rsidR="002A6D87" w:rsidRDefault="002A6D87" w:rsidP="002A6D87">
            <w:pPr>
              <w:jc w:val="both"/>
              <w:rPr>
                <w:sz w:val="22"/>
                <w:szCs w:val="22"/>
              </w:rPr>
            </w:pPr>
          </w:p>
          <w:p w14:paraId="52CB1EFC" w14:textId="77777777" w:rsidR="002A6D87" w:rsidRDefault="002A6D87" w:rsidP="002A6D87">
            <w:pPr>
              <w:jc w:val="both"/>
              <w:rPr>
                <w:sz w:val="22"/>
                <w:szCs w:val="22"/>
              </w:rPr>
            </w:pPr>
          </w:p>
          <w:p w14:paraId="55708928" w14:textId="77777777" w:rsidR="002A6D87" w:rsidRDefault="002A6D87" w:rsidP="002A6D87">
            <w:pPr>
              <w:jc w:val="both"/>
              <w:rPr>
                <w:sz w:val="22"/>
                <w:szCs w:val="22"/>
              </w:rPr>
            </w:pPr>
          </w:p>
          <w:p w14:paraId="594A94AD" w14:textId="77777777" w:rsidR="002A6D87" w:rsidRDefault="002A6D87" w:rsidP="002A6D87">
            <w:pPr>
              <w:jc w:val="both"/>
              <w:rPr>
                <w:sz w:val="22"/>
                <w:szCs w:val="22"/>
              </w:rPr>
            </w:pPr>
          </w:p>
          <w:p w14:paraId="1D36A630" w14:textId="77777777" w:rsidR="002A6D87" w:rsidRDefault="002A6D87" w:rsidP="002A6D87">
            <w:pPr>
              <w:jc w:val="both"/>
              <w:rPr>
                <w:sz w:val="22"/>
                <w:szCs w:val="22"/>
              </w:rPr>
            </w:pPr>
          </w:p>
          <w:p w14:paraId="54924425" w14:textId="77777777" w:rsidR="002A6D87" w:rsidRDefault="002A6D87" w:rsidP="002A6D87">
            <w:pPr>
              <w:jc w:val="both"/>
              <w:rPr>
                <w:sz w:val="22"/>
                <w:szCs w:val="22"/>
              </w:rPr>
            </w:pPr>
          </w:p>
          <w:p w14:paraId="1680EB72" w14:textId="0A4D2EF0" w:rsidR="002A6D87" w:rsidRDefault="002A6D87" w:rsidP="002A6D87">
            <w:pPr>
              <w:jc w:val="both"/>
              <w:rPr>
                <w:sz w:val="22"/>
                <w:szCs w:val="22"/>
              </w:rPr>
            </w:pPr>
            <w:r w:rsidRPr="008269B6">
              <w:rPr>
                <w:sz w:val="22"/>
                <w:szCs w:val="22"/>
              </w:rPr>
              <w:t xml:space="preserve">Var samazināt uz 10% vai 5%, atkarībā no </w:t>
            </w:r>
            <w:r>
              <w:rPr>
                <w:sz w:val="22"/>
                <w:szCs w:val="22"/>
              </w:rPr>
              <w:t>pārkāpuma būtiskuma.</w:t>
            </w:r>
          </w:p>
        </w:tc>
      </w:tr>
      <w:tr w:rsidR="002A6D87" w:rsidRPr="009D07C7" w14:paraId="0783F9EA" w14:textId="77777777" w:rsidTr="00952CF5">
        <w:trPr>
          <w:trHeight w:val="332"/>
        </w:trPr>
        <w:tc>
          <w:tcPr>
            <w:tcW w:w="276" w:type="pct"/>
            <w:tcBorders>
              <w:bottom w:val="single" w:sz="4" w:space="0" w:color="auto"/>
            </w:tcBorders>
          </w:tcPr>
          <w:p w14:paraId="397BABBD" w14:textId="77777777" w:rsidR="002A6D87" w:rsidRPr="009D07C7" w:rsidRDefault="002A6D87" w:rsidP="002A6D87">
            <w:pPr>
              <w:numPr>
                <w:ilvl w:val="0"/>
                <w:numId w:val="1"/>
              </w:numPr>
              <w:rPr>
                <w:sz w:val="22"/>
                <w:szCs w:val="22"/>
              </w:rPr>
            </w:pPr>
          </w:p>
        </w:tc>
        <w:tc>
          <w:tcPr>
            <w:tcW w:w="1726" w:type="pct"/>
            <w:tcBorders>
              <w:bottom w:val="single" w:sz="4" w:space="0" w:color="auto"/>
            </w:tcBorders>
          </w:tcPr>
          <w:p w14:paraId="348ED7FD" w14:textId="77777777" w:rsidR="002A6D87" w:rsidRDefault="002A6D87" w:rsidP="002A6D87">
            <w:pPr>
              <w:jc w:val="both"/>
              <w:rPr>
                <w:sz w:val="22"/>
                <w:szCs w:val="22"/>
              </w:rPr>
            </w:pPr>
            <w:r>
              <w:rPr>
                <w:sz w:val="22"/>
                <w:szCs w:val="22"/>
              </w:rPr>
              <w:t>Diskriminējošas prasības tehniskā specifikācijā</w:t>
            </w:r>
          </w:p>
          <w:p w14:paraId="6700D8FA" w14:textId="77777777" w:rsidR="002A6D87" w:rsidRDefault="002A6D87" w:rsidP="002A6D87">
            <w:pPr>
              <w:jc w:val="both"/>
              <w:rPr>
                <w:sz w:val="22"/>
                <w:szCs w:val="22"/>
              </w:rPr>
            </w:pPr>
          </w:p>
          <w:p w14:paraId="2690E762" w14:textId="77777777" w:rsidR="002A6D87" w:rsidRPr="002214D9" w:rsidRDefault="002A6D87" w:rsidP="002A6D87">
            <w:pPr>
              <w:jc w:val="both"/>
              <w:rPr>
                <w:i/>
                <w:sz w:val="22"/>
                <w:szCs w:val="22"/>
              </w:rPr>
            </w:pPr>
            <w:r w:rsidRPr="002214D9">
              <w:rPr>
                <w:i/>
                <w:sz w:val="22"/>
                <w:szCs w:val="22"/>
              </w:rPr>
              <w:t>Direktīvas Nr.</w:t>
            </w:r>
            <w:r>
              <w:rPr>
                <w:i/>
                <w:sz w:val="22"/>
                <w:szCs w:val="22"/>
              </w:rPr>
              <w:t>2014/24/ES 42(2).pants</w:t>
            </w:r>
          </w:p>
          <w:p w14:paraId="2009580C" w14:textId="77777777" w:rsidR="002A6D87" w:rsidRDefault="002A6D87" w:rsidP="002A6D87">
            <w:pPr>
              <w:jc w:val="both"/>
              <w:rPr>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60(2). pants</w:t>
            </w:r>
          </w:p>
          <w:p w14:paraId="58783B8A" w14:textId="218375BD" w:rsidR="002A6D87" w:rsidRPr="00F54D43" w:rsidRDefault="002A6D87" w:rsidP="002A6D87">
            <w:pPr>
              <w:jc w:val="both"/>
              <w:rPr>
                <w:sz w:val="22"/>
                <w:szCs w:val="22"/>
              </w:rPr>
            </w:pPr>
            <w:r w:rsidRPr="00A2172D">
              <w:rPr>
                <w:sz w:val="22"/>
                <w:szCs w:val="22"/>
              </w:rPr>
              <w:t xml:space="preserve">(EK 19.12.2013. vadlīniju  2.1.sadaļas </w:t>
            </w:r>
            <w:r>
              <w:rPr>
                <w:sz w:val="22"/>
                <w:szCs w:val="22"/>
              </w:rPr>
              <w:t>11</w:t>
            </w:r>
            <w:r w:rsidRPr="00A2172D">
              <w:rPr>
                <w:sz w:val="22"/>
                <w:szCs w:val="22"/>
              </w:rPr>
              <w:t>.punkts)</w:t>
            </w:r>
          </w:p>
        </w:tc>
        <w:tc>
          <w:tcPr>
            <w:tcW w:w="2086" w:type="pct"/>
            <w:gridSpan w:val="2"/>
            <w:tcBorders>
              <w:bottom w:val="single" w:sz="4" w:space="0" w:color="auto"/>
            </w:tcBorders>
            <w:vAlign w:val="center"/>
          </w:tcPr>
          <w:p w14:paraId="4B48A209" w14:textId="301741EC" w:rsidR="002A6D87" w:rsidRDefault="002A6D87" w:rsidP="002A6D87">
            <w:pPr>
              <w:jc w:val="both"/>
              <w:rPr>
                <w:sz w:val="22"/>
                <w:szCs w:val="22"/>
              </w:rPr>
            </w:pPr>
            <w:r>
              <w:rPr>
                <w:sz w:val="22"/>
                <w:szCs w:val="22"/>
              </w:rPr>
              <w:t xml:space="preserve">Noteikti </w:t>
            </w:r>
            <w:r w:rsidRPr="00294BCF">
              <w:rPr>
                <w:sz w:val="22"/>
                <w:szCs w:val="22"/>
              </w:rPr>
              <w:t>pārāk specifiski</w:t>
            </w:r>
            <w:r>
              <w:rPr>
                <w:sz w:val="22"/>
                <w:szCs w:val="22"/>
              </w:rPr>
              <w:t xml:space="preserve"> t</w:t>
            </w:r>
            <w:r w:rsidRPr="00294BCF">
              <w:rPr>
                <w:sz w:val="22"/>
                <w:szCs w:val="22"/>
              </w:rPr>
              <w:t>ehnisk</w:t>
            </w:r>
            <w:r>
              <w:rPr>
                <w:sz w:val="22"/>
                <w:szCs w:val="22"/>
              </w:rPr>
              <w:t>ie</w:t>
            </w:r>
            <w:r w:rsidRPr="00294BCF">
              <w:rPr>
                <w:sz w:val="22"/>
                <w:szCs w:val="22"/>
              </w:rPr>
              <w:t xml:space="preserve"> standart</w:t>
            </w:r>
            <w:r>
              <w:rPr>
                <w:sz w:val="22"/>
                <w:szCs w:val="22"/>
              </w:rPr>
              <w:t>i</w:t>
            </w:r>
            <w:r w:rsidRPr="00294BCF">
              <w:rPr>
                <w:sz w:val="22"/>
                <w:szCs w:val="22"/>
              </w:rPr>
              <w:t>,</w:t>
            </w:r>
            <w:r>
              <w:rPr>
                <w:sz w:val="22"/>
                <w:szCs w:val="22"/>
              </w:rPr>
              <w:t xml:space="preserve"> </w:t>
            </w:r>
            <w:r w:rsidRPr="00294BCF">
              <w:rPr>
                <w:sz w:val="22"/>
                <w:szCs w:val="22"/>
              </w:rPr>
              <w:t>tādējādi nenodrošinot vienād</w:t>
            </w:r>
            <w:r>
              <w:rPr>
                <w:sz w:val="22"/>
                <w:szCs w:val="22"/>
              </w:rPr>
              <w:t>u</w:t>
            </w:r>
            <w:r w:rsidRPr="00294BCF">
              <w:rPr>
                <w:sz w:val="22"/>
                <w:szCs w:val="22"/>
              </w:rPr>
              <w:t xml:space="preserve"> piekļuv</w:t>
            </w:r>
            <w:r>
              <w:rPr>
                <w:sz w:val="22"/>
                <w:szCs w:val="22"/>
              </w:rPr>
              <w:t>i</w:t>
            </w:r>
            <w:r w:rsidRPr="00294BCF">
              <w:rPr>
                <w:sz w:val="22"/>
                <w:szCs w:val="22"/>
              </w:rPr>
              <w:t xml:space="preserve"> </w:t>
            </w:r>
            <w:r>
              <w:rPr>
                <w:sz w:val="22"/>
                <w:szCs w:val="22"/>
              </w:rPr>
              <w:t>ieinteresētajiem</w:t>
            </w:r>
            <w:r w:rsidR="003D3222">
              <w:rPr>
                <w:sz w:val="22"/>
                <w:szCs w:val="22"/>
              </w:rPr>
              <w:t xml:space="preserve"> </w:t>
            </w:r>
            <w:r>
              <w:rPr>
                <w:sz w:val="22"/>
                <w:szCs w:val="22"/>
              </w:rPr>
              <w:t>piegādātājiem</w:t>
            </w:r>
            <w:r w:rsidR="003D3222">
              <w:rPr>
                <w:sz w:val="22"/>
                <w:szCs w:val="22"/>
              </w:rPr>
              <w:t xml:space="preserve"> </w:t>
            </w:r>
            <w:r w:rsidRPr="00294BCF">
              <w:rPr>
                <w:sz w:val="22"/>
                <w:szCs w:val="22"/>
              </w:rPr>
              <w:t>vai</w:t>
            </w:r>
            <w:r>
              <w:rPr>
                <w:sz w:val="22"/>
                <w:szCs w:val="22"/>
              </w:rPr>
              <w:t xml:space="preserve"> </w:t>
            </w:r>
            <w:r w:rsidR="003D3222">
              <w:rPr>
                <w:sz w:val="22"/>
                <w:szCs w:val="22"/>
              </w:rPr>
              <w:t xml:space="preserve">arī </w:t>
            </w:r>
            <w:r>
              <w:rPr>
                <w:sz w:val="22"/>
                <w:szCs w:val="22"/>
              </w:rPr>
              <w:t>publiskajā iepirkumā</w:t>
            </w:r>
            <w:r w:rsidRPr="00294BCF">
              <w:rPr>
                <w:sz w:val="22"/>
                <w:szCs w:val="22"/>
              </w:rPr>
              <w:t xml:space="preserve"> ir</w:t>
            </w:r>
            <w:r w:rsidR="00371234">
              <w:rPr>
                <w:sz w:val="22"/>
                <w:szCs w:val="22"/>
              </w:rPr>
              <w:t xml:space="preserve"> </w:t>
            </w:r>
            <w:r w:rsidRPr="00294BCF">
              <w:rPr>
                <w:sz w:val="22"/>
                <w:szCs w:val="22"/>
              </w:rPr>
              <w:t>radīt</w:t>
            </w:r>
            <w:r>
              <w:rPr>
                <w:sz w:val="22"/>
                <w:szCs w:val="22"/>
              </w:rPr>
              <w:t>i</w:t>
            </w:r>
            <w:r w:rsidRPr="00294BCF">
              <w:rPr>
                <w:sz w:val="22"/>
                <w:szCs w:val="22"/>
              </w:rPr>
              <w:t xml:space="preserve"> nepamatot</w:t>
            </w:r>
            <w:r>
              <w:rPr>
                <w:sz w:val="22"/>
                <w:szCs w:val="22"/>
              </w:rPr>
              <w:t>i</w:t>
            </w:r>
            <w:r w:rsidR="003D3222">
              <w:rPr>
                <w:sz w:val="22"/>
                <w:szCs w:val="22"/>
              </w:rPr>
              <w:t xml:space="preserve"> </w:t>
            </w:r>
            <w:r w:rsidRPr="00294BCF">
              <w:rPr>
                <w:sz w:val="22"/>
                <w:szCs w:val="22"/>
              </w:rPr>
              <w:t>šķēršļi</w:t>
            </w:r>
            <w:r>
              <w:rPr>
                <w:sz w:val="22"/>
                <w:szCs w:val="22"/>
              </w:rPr>
              <w:t xml:space="preserve"> atvērtai iepirkuma procedūrai. </w:t>
            </w:r>
          </w:p>
          <w:p w14:paraId="3C7D0CF6" w14:textId="77777777" w:rsidR="002A6D87" w:rsidRDefault="002A6D87" w:rsidP="002A6D87">
            <w:pPr>
              <w:jc w:val="both"/>
              <w:rPr>
                <w:sz w:val="22"/>
                <w:szCs w:val="22"/>
              </w:rPr>
            </w:pPr>
          </w:p>
          <w:p w14:paraId="2466FD1B" w14:textId="77777777" w:rsidR="002A6D87" w:rsidRPr="00D20EF7" w:rsidRDefault="002A6D87" w:rsidP="002A6D87">
            <w:pPr>
              <w:jc w:val="both"/>
              <w:rPr>
                <w:i/>
                <w:sz w:val="22"/>
                <w:szCs w:val="22"/>
              </w:rPr>
            </w:pPr>
            <w:r w:rsidRPr="00D20EF7">
              <w:rPr>
                <w:i/>
                <w:sz w:val="22"/>
                <w:szCs w:val="22"/>
              </w:rPr>
              <w:t>Piemēram:</w:t>
            </w:r>
          </w:p>
          <w:p w14:paraId="1E08B014" w14:textId="77777777" w:rsidR="002A6D87" w:rsidRPr="00D20EF7" w:rsidRDefault="002A6D87" w:rsidP="002C4871">
            <w:pPr>
              <w:numPr>
                <w:ilvl w:val="0"/>
                <w:numId w:val="11"/>
              </w:numPr>
              <w:autoSpaceDE w:val="0"/>
              <w:autoSpaceDN w:val="0"/>
              <w:adjustRightInd w:val="0"/>
              <w:ind w:left="298" w:hanging="298"/>
              <w:jc w:val="both"/>
              <w:rPr>
                <w:i/>
                <w:sz w:val="22"/>
                <w:szCs w:val="22"/>
              </w:rPr>
            </w:pPr>
            <w:r w:rsidRPr="00D20EF7">
              <w:rPr>
                <w:i/>
                <w:sz w:val="22"/>
                <w:szCs w:val="22"/>
              </w:rPr>
              <w:t>norādes par konkrētiem zīmoliem bez piebildes «vai ekvivalents»;</w:t>
            </w:r>
          </w:p>
          <w:p w14:paraId="4E57BCBE" w14:textId="77777777" w:rsidR="002A6D87" w:rsidRPr="00D20EF7" w:rsidRDefault="002A6D87" w:rsidP="002C4871">
            <w:pPr>
              <w:numPr>
                <w:ilvl w:val="0"/>
                <w:numId w:val="11"/>
              </w:numPr>
              <w:autoSpaceDE w:val="0"/>
              <w:autoSpaceDN w:val="0"/>
              <w:adjustRightInd w:val="0"/>
              <w:ind w:left="298" w:hanging="298"/>
              <w:jc w:val="both"/>
              <w:rPr>
                <w:i/>
                <w:sz w:val="22"/>
                <w:szCs w:val="22"/>
              </w:rPr>
            </w:pPr>
            <w:r w:rsidRPr="00D20EF7">
              <w:rPr>
                <w:i/>
                <w:sz w:val="22"/>
                <w:szCs w:val="22"/>
              </w:rPr>
              <w:t>prasības par preču sertifikāciju tieši LV;</w:t>
            </w:r>
          </w:p>
          <w:p w14:paraId="04CC558D" w14:textId="6B24CC0A" w:rsidR="002A6D87" w:rsidRDefault="002A6D87" w:rsidP="00FC4D35">
            <w:pPr>
              <w:numPr>
                <w:ilvl w:val="0"/>
                <w:numId w:val="11"/>
              </w:numPr>
              <w:autoSpaceDE w:val="0"/>
              <w:autoSpaceDN w:val="0"/>
              <w:adjustRightInd w:val="0"/>
              <w:ind w:left="298" w:hanging="298"/>
              <w:jc w:val="both"/>
              <w:rPr>
                <w:i/>
                <w:sz w:val="22"/>
                <w:szCs w:val="22"/>
              </w:rPr>
            </w:pPr>
            <w:r w:rsidRPr="00D20EF7">
              <w:rPr>
                <w:i/>
                <w:sz w:val="22"/>
                <w:szCs w:val="22"/>
              </w:rPr>
              <w:t>prasības, kas nav nepieciešamas līguma izpildei, piemēram, konkrēti parametri, izmēri, krāsa, kur</w:t>
            </w:r>
            <w:r w:rsidR="00371234">
              <w:rPr>
                <w:i/>
                <w:sz w:val="22"/>
                <w:szCs w:val="22"/>
              </w:rPr>
              <w:t>ā</w:t>
            </w:r>
            <w:r w:rsidRPr="00D20EF7">
              <w:rPr>
                <w:i/>
                <w:sz w:val="22"/>
                <w:szCs w:val="22"/>
              </w:rPr>
              <w:t>m nav objektīva pamatojuma</w:t>
            </w:r>
            <w:r w:rsidR="00E31715">
              <w:rPr>
                <w:i/>
                <w:sz w:val="22"/>
                <w:szCs w:val="22"/>
              </w:rPr>
              <w:t>;</w:t>
            </w:r>
          </w:p>
          <w:p w14:paraId="1D69A774" w14:textId="77777777" w:rsidR="00E31715" w:rsidRDefault="00E31715" w:rsidP="00022C7A">
            <w:pPr>
              <w:numPr>
                <w:ilvl w:val="0"/>
                <w:numId w:val="11"/>
              </w:numPr>
              <w:autoSpaceDE w:val="0"/>
              <w:autoSpaceDN w:val="0"/>
              <w:adjustRightInd w:val="0"/>
              <w:ind w:left="298" w:hanging="298"/>
              <w:jc w:val="both"/>
              <w:rPr>
                <w:i/>
                <w:sz w:val="22"/>
                <w:szCs w:val="22"/>
              </w:rPr>
            </w:pPr>
            <w:r w:rsidRPr="00E31715">
              <w:rPr>
                <w:i/>
                <w:sz w:val="22"/>
                <w:szCs w:val="22"/>
              </w:rPr>
              <w:t>Prasības par finanšu rezervi pretendenta finanšu piedāvājumā, ja finanšu rezerves izmantošanas gadījumi nav atrunāti iepirkuma dokumentācijā</w:t>
            </w:r>
            <w:r w:rsidR="00022C7A">
              <w:rPr>
                <w:rStyle w:val="FootnoteReference"/>
                <w:i/>
                <w:sz w:val="22"/>
                <w:szCs w:val="22"/>
              </w:rPr>
              <w:footnoteReference w:id="16"/>
            </w:r>
            <w:r w:rsidR="00022C7A">
              <w:rPr>
                <w:i/>
                <w:sz w:val="22"/>
                <w:szCs w:val="22"/>
              </w:rPr>
              <w:t>;</w:t>
            </w:r>
          </w:p>
          <w:p w14:paraId="1790FAB9" w14:textId="34A049AD" w:rsidR="00022C7A" w:rsidRPr="00FC4D35" w:rsidRDefault="00022C7A" w:rsidP="00022C7A">
            <w:pPr>
              <w:numPr>
                <w:ilvl w:val="0"/>
                <w:numId w:val="11"/>
              </w:numPr>
              <w:autoSpaceDE w:val="0"/>
              <w:autoSpaceDN w:val="0"/>
              <w:adjustRightInd w:val="0"/>
              <w:ind w:left="298" w:hanging="298"/>
              <w:jc w:val="both"/>
              <w:rPr>
                <w:i/>
                <w:sz w:val="22"/>
                <w:szCs w:val="22"/>
              </w:rPr>
            </w:pPr>
            <w:r w:rsidRPr="00E31715">
              <w:rPr>
                <w:i/>
                <w:sz w:val="22"/>
                <w:szCs w:val="22"/>
              </w:rPr>
              <w:t>Prasības par</w:t>
            </w:r>
            <w:r w:rsidRPr="003D3222">
              <w:rPr>
                <w:i/>
                <w:sz w:val="22"/>
                <w:szCs w:val="22"/>
              </w:rPr>
              <w:t xml:space="preserve"> konkrētu peļņas vai virsizdevumu likmi</w:t>
            </w:r>
            <w:r>
              <w:rPr>
                <w:i/>
                <w:sz w:val="22"/>
                <w:szCs w:val="22"/>
              </w:rPr>
              <w:t xml:space="preserve"> </w:t>
            </w:r>
            <w:r w:rsidRPr="00022C7A">
              <w:rPr>
                <w:i/>
                <w:sz w:val="22"/>
                <w:szCs w:val="22"/>
              </w:rPr>
              <w:t>(ir izņēmumi</w:t>
            </w:r>
            <w:r>
              <w:rPr>
                <w:rStyle w:val="FootnoteReference"/>
                <w:i/>
                <w:sz w:val="22"/>
                <w:szCs w:val="22"/>
              </w:rPr>
              <w:footnoteReference w:id="17"/>
            </w:r>
            <w:r w:rsidRPr="00022C7A">
              <w:rPr>
                <w:i/>
                <w:sz w:val="22"/>
                <w:szCs w:val="22"/>
              </w:rPr>
              <w:t>).</w:t>
            </w:r>
          </w:p>
        </w:tc>
        <w:tc>
          <w:tcPr>
            <w:tcW w:w="912" w:type="pct"/>
            <w:tcBorders>
              <w:bottom w:val="single" w:sz="4" w:space="0" w:color="auto"/>
            </w:tcBorders>
          </w:tcPr>
          <w:p w14:paraId="58128FAB" w14:textId="77777777" w:rsidR="002A6D87" w:rsidRPr="008269B6" w:rsidRDefault="002A6D87" w:rsidP="002A6D87">
            <w:pPr>
              <w:jc w:val="both"/>
              <w:rPr>
                <w:sz w:val="22"/>
                <w:szCs w:val="22"/>
              </w:rPr>
            </w:pPr>
            <w:r w:rsidRPr="008269B6">
              <w:rPr>
                <w:sz w:val="22"/>
                <w:szCs w:val="22"/>
              </w:rPr>
              <w:t>25%</w:t>
            </w:r>
          </w:p>
          <w:p w14:paraId="5B1E8ADB" w14:textId="77777777" w:rsidR="002A6D87" w:rsidRPr="008269B6" w:rsidRDefault="002A6D87" w:rsidP="002A6D87">
            <w:pPr>
              <w:jc w:val="both"/>
              <w:rPr>
                <w:sz w:val="22"/>
                <w:szCs w:val="22"/>
              </w:rPr>
            </w:pPr>
          </w:p>
          <w:p w14:paraId="3DC1D770" w14:textId="77777777" w:rsidR="002A6D87" w:rsidRDefault="002A6D87" w:rsidP="002A6D87">
            <w:pPr>
              <w:jc w:val="both"/>
              <w:rPr>
                <w:sz w:val="22"/>
                <w:szCs w:val="22"/>
              </w:rPr>
            </w:pPr>
          </w:p>
          <w:p w14:paraId="2FEF39AA" w14:textId="5072C265" w:rsidR="002A6D87" w:rsidRPr="008269B6" w:rsidRDefault="002A6D87" w:rsidP="002A6D87">
            <w:pPr>
              <w:jc w:val="both"/>
              <w:rPr>
                <w:sz w:val="22"/>
                <w:szCs w:val="22"/>
              </w:rPr>
            </w:pPr>
            <w:r w:rsidRPr="008269B6">
              <w:rPr>
                <w:sz w:val="22"/>
                <w:szCs w:val="22"/>
              </w:rPr>
              <w:t xml:space="preserve">Var samazināt uz 10% vai 5%, atkarībā no </w:t>
            </w:r>
            <w:r>
              <w:rPr>
                <w:sz w:val="22"/>
                <w:szCs w:val="22"/>
              </w:rPr>
              <w:t>pārkāpuma būtiskuma.</w:t>
            </w:r>
          </w:p>
        </w:tc>
      </w:tr>
      <w:tr w:rsidR="002A6D87" w:rsidRPr="009D07C7" w14:paraId="63F47C5E" w14:textId="77777777" w:rsidTr="00952CF5">
        <w:trPr>
          <w:trHeight w:val="332"/>
        </w:trPr>
        <w:tc>
          <w:tcPr>
            <w:tcW w:w="276" w:type="pct"/>
            <w:tcBorders>
              <w:bottom w:val="single" w:sz="4" w:space="0" w:color="auto"/>
            </w:tcBorders>
          </w:tcPr>
          <w:p w14:paraId="02F334F1" w14:textId="77777777" w:rsidR="002A6D87" w:rsidRPr="009D07C7" w:rsidRDefault="002A6D87" w:rsidP="002A6D87">
            <w:pPr>
              <w:numPr>
                <w:ilvl w:val="0"/>
                <w:numId w:val="1"/>
              </w:numPr>
              <w:rPr>
                <w:sz w:val="22"/>
                <w:szCs w:val="22"/>
              </w:rPr>
            </w:pPr>
          </w:p>
        </w:tc>
        <w:tc>
          <w:tcPr>
            <w:tcW w:w="1726" w:type="pct"/>
            <w:tcBorders>
              <w:bottom w:val="single" w:sz="4" w:space="0" w:color="auto"/>
            </w:tcBorders>
          </w:tcPr>
          <w:p w14:paraId="78364CDC" w14:textId="77777777" w:rsidR="002A6D87" w:rsidRDefault="002A6D87" w:rsidP="002A6D87">
            <w:pPr>
              <w:autoSpaceDE w:val="0"/>
              <w:autoSpaceDN w:val="0"/>
              <w:adjustRightInd w:val="0"/>
              <w:jc w:val="both"/>
              <w:rPr>
                <w:sz w:val="22"/>
                <w:szCs w:val="22"/>
              </w:rPr>
            </w:pPr>
            <w:r w:rsidRPr="00927D9A">
              <w:rPr>
                <w:sz w:val="22"/>
                <w:szCs w:val="22"/>
              </w:rPr>
              <w:t>Līguma priekšmeta</w:t>
            </w:r>
            <w:r>
              <w:rPr>
                <w:sz w:val="22"/>
                <w:szCs w:val="22"/>
              </w:rPr>
              <w:t xml:space="preserve"> </w:t>
            </w:r>
            <w:r w:rsidRPr="00927D9A">
              <w:rPr>
                <w:sz w:val="22"/>
                <w:szCs w:val="22"/>
              </w:rPr>
              <w:t>nepilnīgs apraksts</w:t>
            </w:r>
          </w:p>
          <w:p w14:paraId="562F8E0E" w14:textId="77777777" w:rsidR="002A6D87" w:rsidRDefault="002A6D87" w:rsidP="002A6D87">
            <w:pPr>
              <w:autoSpaceDE w:val="0"/>
              <w:autoSpaceDN w:val="0"/>
              <w:adjustRightInd w:val="0"/>
              <w:jc w:val="both"/>
              <w:rPr>
                <w:sz w:val="22"/>
                <w:szCs w:val="22"/>
              </w:rPr>
            </w:pPr>
          </w:p>
          <w:p w14:paraId="79698BEB" w14:textId="77777777" w:rsidR="002A6D87" w:rsidRPr="002214D9" w:rsidRDefault="002A6D87" w:rsidP="002A6D87">
            <w:pPr>
              <w:jc w:val="both"/>
              <w:rPr>
                <w:i/>
                <w:sz w:val="22"/>
                <w:szCs w:val="22"/>
              </w:rPr>
            </w:pPr>
            <w:r w:rsidRPr="002214D9">
              <w:rPr>
                <w:i/>
                <w:sz w:val="22"/>
                <w:szCs w:val="22"/>
              </w:rPr>
              <w:t>Direktīvas Nr.</w:t>
            </w:r>
            <w:r>
              <w:rPr>
                <w:i/>
                <w:sz w:val="22"/>
                <w:szCs w:val="22"/>
              </w:rPr>
              <w:t>2014/24/ES 18(1).pants</w:t>
            </w:r>
          </w:p>
          <w:p w14:paraId="6129B898" w14:textId="77777777" w:rsidR="002A6D87" w:rsidRDefault="002A6D87" w:rsidP="002A6D87">
            <w:pPr>
              <w:jc w:val="both"/>
              <w:rPr>
                <w:i/>
                <w:sz w:val="22"/>
                <w:szCs w:val="22"/>
              </w:rPr>
            </w:pPr>
          </w:p>
          <w:p w14:paraId="189B93BC" w14:textId="77777777" w:rsidR="002A6D87" w:rsidRDefault="002A6D87" w:rsidP="002A6D87">
            <w:pPr>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36(1). pants</w:t>
            </w:r>
          </w:p>
          <w:p w14:paraId="237F5815" w14:textId="77777777" w:rsidR="002A6D87" w:rsidRPr="002214D9" w:rsidRDefault="002A6D87" w:rsidP="002A6D87">
            <w:pPr>
              <w:jc w:val="both"/>
              <w:rPr>
                <w:i/>
                <w:sz w:val="22"/>
                <w:szCs w:val="22"/>
              </w:rPr>
            </w:pPr>
          </w:p>
          <w:p w14:paraId="6762EDBA" w14:textId="77777777" w:rsidR="002A6D87" w:rsidRDefault="002A6D87" w:rsidP="002A6D87">
            <w:pPr>
              <w:autoSpaceDE w:val="0"/>
              <w:autoSpaceDN w:val="0"/>
              <w:adjustRightInd w:val="0"/>
              <w:jc w:val="both"/>
              <w:rPr>
                <w:sz w:val="22"/>
                <w:szCs w:val="22"/>
              </w:rPr>
            </w:pPr>
          </w:p>
          <w:p w14:paraId="4742C390" w14:textId="5946D914" w:rsidR="002A6D87" w:rsidRDefault="002A6D87" w:rsidP="002A6D87">
            <w:pPr>
              <w:jc w:val="both"/>
              <w:rPr>
                <w:sz w:val="22"/>
                <w:szCs w:val="22"/>
              </w:rPr>
            </w:pPr>
            <w:r w:rsidRPr="00A2172D">
              <w:rPr>
                <w:sz w:val="22"/>
                <w:szCs w:val="22"/>
              </w:rPr>
              <w:t xml:space="preserve">(EK 19.12.2013. vadlīniju  2.1.sadaļas </w:t>
            </w:r>
            <w:r>
              <w:rPr>
                <w:sz w:val="22"/>
                <w:szCs w:val="22"/>
              </w:rPr>
              <w:t>12</w:t>
            </w:r>
            <w:r w:rsidRPr="00A2172D">
              <w:rPr>
                <w:sz w:val="22"/>
                <w:szCs w:val="22"/>
              </w:rPr>
              <w:t>.punkts</w:t>
            </w:r>
            <w:r>
              <w:rPr>
                <w:i/>
                <w:sz w:val="22"/>
                <w:szCs w:val="22"/>
              </w:rPr>
              <w:t xml:space="preserve"> </w:t>
            </w:r>
            <w:r w:rsidRPr="000D2AE0">
              <w:rPr>
                <w:sz w:val="22"/>
                <w:szCs w:val="22"/>
              </w:rPr>
              <w:t>un tajā norādītie tiesu prakses gadījumi</w:t>
            </w:r>
            <w:r w:rsidRPr="00A2172D">
              <w:rPr>
                <w:sz w:val="22"/>
                <w:szCs w:val="22"/>
              </w:rPr>
              <w:t>)</w:t>
            </w:r>
          </w:p>
        </w:tc>
        <w:tc>
          <w:tcPr>
            <w:tcW w:w="2086" w:type="pct"/>
            <w:gridSpan w:val="2"/>
            <w:tcBorders>
              <w:bottom w:val="single" w:sz="4" w:space="0" w:color="auto"/>
            </w:tcBorders>
          </w:tcPr>
          <w:p w14:paraId="67554620" w14:textId="6EDB9D3A" w:rsidR="002A6D87" w:rsidRDefault="002A6D87" w:rsidP="002F1050">
            <w:pPr>
              <w:jc w:val="both"/>
              <w:rPr>
                <w:sz w:val="22"/>
                <w:szCs w:val="22"/>
              </w:rPr>
            </w:pPr>
            <w:r w:rsidRPr="007920E2">
              <w:rPr>
                <w:sz w:val="22"/>
                <w:szCs w:val="22"/>
              </w:rPr>
              <w:t>Apraksts iepirkuma dokumentācijā vai paziņojumā par līgumu ir nepietiekams, lai potenciālais pretendents/kandidāts varētu</w:t>
            </w:r>
            <w:r>
              <w:rPr>
                <w:sz w:val="22"/>
                <w:szCs w:val="22"/>
              </w:rPr>
              <w:t xml:space="preserve"> sagatavot piedāvājumu.</w:t>
            </w:r>
          </w:p>
        </w:tc>
        <w:tc>
          <w:tcPr>
            <w:tcW w:w="912" w:type="pct"/>
            <w:tcBorders>
              <w:bottom w:val="single" w:sz="4" w:space="0" w:color="auto"/>
            </w:tcBorders>
            <w:vAlign w:val="center"/>
          </w:tcPr>
          <w:p w14:paraId="17991696" w14:textId="77777777" w:rsidR="002A6D87" w:rsidRPr="008269B6" w:rsidRDefault="002A6D87" w:rsidP="002A6D87">
            <w:pPr>
              <w:jc w:val="both"/>
              <w:rPr>
                <w:sz w:val="22"/>
                <w:szCs w:val="22"/>
              </w:rPr>
            </w:pPr>
            <w:r>
              <w:rPr>
                <w:sz w:val="22"/>
                <w:szCs w:val="22"/>
              </w:rPr>
              <w:t>10</w:t>
            </w:r>
            <w:r w:rsidRPr="008269B6">
              <w:rPr>
                <w:sz w:val="22"/>
                <w:szCs w:val="22"/>
              </w:rPr>
              <w:t>%</w:t>
            </w:r>
          </w:p>
          <w:p w14:paraId="670441B2" w14:textId="77777777" w:rsidR="002A6D87" w:rsidRPr="008269B6" w:rsidRDefault="002A6D87" w:rsidP="002A6D87">
            <w:pPr>
              <w:jc w:val="both"/>
              <w:rPr>
                <w:sz w:val="22"/>
                <w:szCs w:val="22"/>
              </w:rPr>
            </w:pPr>
          </w:p>
          <w:p w14:paraId="29593543" w14:textId="77777777" w:rsidR="002A6D87" w:rsidRDefault="002A6D87" w:rsidP="002A6D87">
            <w:pPr>
              <w:jc w:val="both"/>
              <w:rPr>
                <w:sz w:val="22"/>
                <w:szCs w:val="22"/>
              </w:rPr>
            </w:pPr>
            <w:r w:rsidRPr="008269B6">
              <w:rPr>
                <w:sz w:val="22"/>
                <w:szCs w:val="22"/>
              </w:rPr>
              <w:t xml:space="preserve">Var samazināt uz 5%, atkarībā no </w:t>
            </w:r>
            <w:r>
              <w:rPr>
                <w:sz w:val="22"/>
                <w:szCs w:val="22"/>
              </w:rPr>
              <w:t>pārkāpuma būtiskuma.</w:t>
            </w:r>
          </w:p>
          <w:p w14:paraId="5E5D1EE2" w14:textId="77777777" w:rsidR="002A6D87" w:rsidRDefault="002A6D87" w:rsidP="002A6D87">
            <w:pPr>
              <w:jc w:val="both"/>
              <w:rPr>
                <w:sz w:val="22"/>
                <w:szCs w:val="22"/>
              </w:rPr>
            </w:pPr>
          </w:p>
          <w:p w14:paraId="4D703029" w14:textId="3E8A3379" w:rsidR="002A6D87" w:rsidRPr="008269B6" w:rsidRDefault="002A6D87" w:rsidP="002A6D87">
            <w:pPr>
              <w:jc w:val="both"/>
              <w:rPr>
                <w:sz w:val="22"/>
                <w:szCs w:val="22"/>
              </w:rPr>
            </w:pPr>
            <w:r>
              <w:rPr>
                <w:sz w:val="22"/>
                <w:szCs w:val="22"/>
              </w:rPr>
              <w:t>Ja informācija par veicamajiem darbiem netika publicēta, tad piemēro 100% finanšu korekciju attiecīgajiem darbiem.</w:t>
            </w:r>
          </w:p>
        </w:tc>
      </w:tr>
      <w:tr w:rsidR="002A6D87" w:rsidRPr="009D07C7" w14:paraId="4AB3577B" w14:textId="77777777" w:rsidTr="002029E0">
        <w:trPr>
          <w:trHeight w:val="332"/>
        </w:trPr>
        <w:tc>
          <w:tcPr>
            <w:tcW w:w="5000" w:type="pct"/>
            <w:gridSpan w:val="5"/>
            <w:tcBorders>
              <w:bottom w:val="single" w:sz="4" w:space="0" w:color="auto"/>
            </w:tcBorders>
            <w:shd w:val="clear" w:color="auto" w:fill="BFBFBF" w:themeFill="background1" w:themeFillShade="BF"/>
          </w:tcPr>
          <w:p w14:paraId="78E029DF" w14:textId="79D0383C" w:rsidR="002A6D87" w:rsidRDefault="002A6D87" w:rsidP="002A6D87">
            <w:pPr>
              <w:jc w:val="center"/>
              <w:rPr>
                <w:sz w:val="22"/>
                <w:szCs w:val="22"/>
              </w:rPr>
            </w:pPr>
            <w:r w:rsidRPr="00F55E89">
              <w:rPr>
                <w:b/>
                <w:sz w:val="22"/>
                <w:szCs w:val="22"/>
              </w:rPr>
              <w:t>Piedāvājuma vērtēšana</w:t>
            </w:r>
          </w:p>
        </w:tc>
      </w:tr>
      <w:tr w:rsidR="002A6D87" w:rsidRPr="009D07C7" w14:paraId="35CDB039" w14:textId="77777777" w:rsidTr="002029E0">
        <w:trPr>
          <w:trHeight w:val="332"/>
        </w:trPr>
        <w:tc>
          <w:tcPr>
            <w:tcW w:w="276" w:type="pct"/>
            <w:tcBorders>
              <w:top w:val="single" w:sz="4" w:space="0" w:color="auto"/>
              <w:left w:val="single" w:sz="4" w:space="0" w:color="auto"/>
              <w:bottom w:val="single" w:sz="4" w:space="0" w:color="auto"/>
              <w:right w:val="single" w:sz="4" w:space="0" w:color="auto"/>
            </w:tcBorders>
          </w:tcPr>
          <w:p w14:paraId="6071A4C0" w14:textId="77777777" w:rsidR="002A6D87" w:rsidRPr="009D07C7" w:rsidRDefault="002A6D87" w:rsidP="002A6D87">
            <w:pPr>
              <w:numPr>
                <w:ilvl w:val="0"/>
                <w:numId w:val="1"/>
              </w:numPr>
              <w:rPr>
                <w:sz w:val="22"/>
                <w:szCs w:val="22"/>
              </w:rPr>
            </w:pPr>
          </w:p>
        </w:tc>
        <w:tc>
          <w:tcPr>
            <w:tcW w:w="1726" w:type="pct"/>
            <w:tcBorders>
              <w:top w:val="single" w:sz="4" w:space="0" w:color="auto"/>
              <w:left w:val="single" w:sz="4" w:space="0" w:color="auto"/>
              <w:bottom w:val="single" w:sz="4" w:space="0" w:color="auto"/>
              <w:right w:val="single" w:sz="4" w:space="0" w:color="auto"/>
            </w:tcBorders>
            <w:vAlign w:val="center"/>
          </w:tcPr>
          <w:p w14:paraId="3DF00172" w14:textId="163268EE" w:rsidR="002A6D87" w:rsidRPr="0010789B" w:rsidRDefault="002A6D87" w:rsidP="002A6D87">
            <w:pPr>
              <w:jc w:val="both"/>
              <w:rPr>
                <w:sz w:val="22"/>
                <w:szCs w:val="22"/>
              </w:rPr>
            </w:pPr>
            <w:r w:rsidRPr="0010789B">
              <w:rPr>
                <w:sz w:val="22"/>
                <w:szCs w:val="22"/>
              </w:rPr>
              <w:t xml:space="preserve">Atlases kritēriju grozīšana pēc piedāvājumu atvēršanas, kā rezultātā tiek nepamatoti </w:t>
            </w:r>
            <w:r>
              <w:rPr>
                <w:sz w:val="22"/>
                <w:szCs w:val="22"/>
              </w:rPr>
              <w:t xml:space="preserve">atlasīti </w:t>
            </w:r>
            <w:r w:rsidRPr="0010789B">
              <w:rPr>
                <w:sz w:val="22"/>
                <w:szCs w:val="22"/>
              </w:rPr>
              <w:t xml:space="preserve">pretendenti </w:t>
            </w:r>
          </w:p>
          <w:p w14:paraId="3B74358D" w14:textId="77777777" w:rsidR="002A6D87" w:rsidRPr="0010789B" w:rsidRDefault="002A6D87" w:rsidP="002A6D87">
            <w:pPr>
              <w:jc w:val="both"/>
              <w:rPr>
                <w:sz w:val="22"/>
                <w:szCs w:val="22"/>
              </w:rPr>
            </w:pPr>
          </w:p>
          <w:p w14:paraId="74373278" w14:textId="77777777" w:rsidR="002A6D87" w:rsidRPr="0010789B" w:rsidRDefault="002A6D87" w:rsidP="002A6D87">
            <w:pPr>
              <w:jc w:val="both"/>
              <w:rPr>
                <w:i/>
                <w:sz w:val="22"/>
                <w:szCs w:val="22"/>
              </w:rPr>
            </w:pPr>
            <w:r w:rsidRPr="0010789B">
              <w:rPr>
                <w:i/>
                <w:sz w:val="22"/>
                <w:szCs w:val="22"/>
              </w:rPr>
              <w:t>Direktīvas Nr.</w:t>
            </w:r>
            <w:r>
              <w:rPr>
                <w:i/>
                <w:sz w:val="22"/>
                <w:szCs w:val="22"/>
              </w:rPr>
              <w:t>2014/24/ES 18(1).pants, 56(1).panta pirmā daļa, 58(1).pants</w:t>
            </w:r>
          </w:p>
          <w:p w14:paraId="0498140B" w14:textId="77777777" w:rsidR="002A6D87" w:rsidRDefault="002A6D87" w:rsidP="002A6D87">
            <w:pPr>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36(1).pants un 78(1).pants</w:t>
            </w:r>
          </w:p>
          <w:p w14:paraId="59459395" w14:textId="77777777" w:rsidR="002A6D87" w:rsidRDefault="002A6D87" w:rsidP="002A6D87">
            <w:pPr>
              <w:jc w:val="both"/>
              <w:rPr>
                <w:i/>
                <w:sz w:val="22"/>
                <w:szCs w:val="22"/>
              </w:rPr>
            </w:pPr>
          </w:p>
          <w:p w14:paraId="02CA3ADC" w14:textId="5D3B8DB3" w:rsidR="002A6D87" w:rsidRPr="00927D9A" w:rsidRDefault="002A6D87" w:rsidP="002A6D87">
            <w:pPr>
              <w:autoSpaceDE w:val="0"/>
              <w:autoSpaceDN w:val="0"/>
              <w:adjustRightInd w:val="0"/>
              <w:jc w:val="both"/>
              <w:rPr>
                <w:sz w:val="22"/>
                <w:szCs w:val="22"/>
              </w:rPr>
            </w:pPr>
            <w:r w:rsidRPr="00A2172D">
              <w:rPr>
                <w:sz w:val="22"/>
                <w:szCs w:val="22"/>
              </w:rPr>
              <w:t xml:space="preserve">(EK 19.12.2013. vadlīniju  2.1.sadaļas </w:t>
            </w:r>
            <w:r>
              <w:rPr>
                <w:sz w:val="22"/>
                <w:szCs w:val="22"/>
              </w:rPr>
              <w:t>13</w:t>
            </w:r>
            <w:r w:rsidRPr="00A2172D">
              <w:rPr>
                <w:sz w:val="22"/>
                <w:szCs w:val="22"/>
              </w:rPr>
              <w:t>.punkts)</w:t>
            </w:r>
          </w:p>
        </w:tc>
        <w:tc>
          <w:tcPr>
            <w:tcW w:w="2086" w:type="pct"/>
            <w:gridSpan w:val="2"/>
            <w:tcBorders>
              <w:top w:val="single" w:sz="4" w:space="0" w:color="auto"/>
              <w:left w:val="single" w:sz="4" w:space="0" w:color="auto"/>
              <w:bottom w:val="single" w:sz="4" w:space="0" w:color="auto"/>
              <w:right w:val="single" w:sz="4" w:space="0" w:color="auto"/>
            </w:tcBorders>
          </w:tcPr>
          <w:p w14:paraId="2340CCFC" w14:textId="0849D32D" w:rsidR="002A6D87" w:rsidRPr="007920E2" w:rsidRDefault="002A6D87" w:rsidP="00376C3F">
            <w:pPr>
              <w:jc w:val="both"/>
              <w:rPr>
                <w:sz w:val="22"/>
                <w:szCs w:val="22"/>
              </w:rPr>
            </w:pPr>
            <w:r w:rsidRPr="00214C48">
              <w:rPr>
                <w:sz w:val="22"/>
                <w:szCs w:val="22"/>
              </w:rPr>
              <w:t xml:space="preserve">Tika mainīti atlases kritēriji atlases laikā, kā rezultātā </w:t>
            </w:r>
            <w:r>
              <w:rPr>
                <w:sz w:val="22"/>
                <w:szCs w:val="22"/>
              </w:rPr>
              <w:t>tika atlasīti</w:t>
            </w:r>
            <w:r w:rsidRPr="00214C48">
              <w:rPr>
                <w:sz w:val="22"/>
                <w:szCs w:val="22"/>
              </w:rPr>
              <w:t xml:space="preserve"> pretendenti, </w:t>
            </w:r>
            <w:r>
              <w:rPr>
                <w:sz w:val="22"/>
                <w:szCs w:val="22"/>
              </w:rPr>
              <w:t>kuri būtu neatbilstoši, ja ievērotu sākotnēji publicētos atlases kritērijus.</w:t>
            </w:r>
          </w:p>
        </w:tc>
        <w:tc>
          <w:tcPr>
            <w:tcW w:w="912" w:type="pct"/>
            <w:tcBorders>
              <w:top w:val="single" w:sz="4" w:space="0" w:color="auto"/>
              <w:left w:val="single" w:sz="4" w:space="0" w:color="auto"/>
              <w:bottom w:val="single" w:sz="4" w:space="0" w:color="auto"/>
              <w:right w:val="single" w:sz="4" w:space="0" w:color="auto"/>
            </w:tcBorders>
            <w:vAlign w:val="center"/>
          </w:tcPr>
          <w:p w14:paraId="3AF17C33" w14:textId="77777777" w:rsidR="002A6D87" w:rsidRPr="00F06301" w:rsidRDefault="002A6D87" w:rsidP="002A6D87">
            <w:pPr>
              <w:jc w:val="both"/>
              <w:rPr>
                <w:sz w:val="22"/>
                <w:szCs w:val="22"/>
              </w:rPr>
            </w:pPr>
            <w:r w:rsidRPr="00F06301">
              <w:rPr>
                <w:sz w:val="22"/>
                <w:szCs w:val="22"/>
              </w:rPr>
              <w:t>25%</w:t>
            </w:r>
          </w:p>
          <w:p w14:paraId="5D3680C6" w14:textId="77777777" w:rsidR="002A6D87" w:rsidRPr="00F06301" w:rsidRDefault="002A6D87" w:rsidP="002A6D87">
            <w:pPr>
              <w:jc w:val="both"/>
              <w:rPr>
                <w:sz w:val="22"/>
                <w:szCs w:val="22"/>
              </w:rPr>
            </w:pPr>
          </w:p>
          <w:p w14:paraId="0804A8D5" w14:textId="0EF71A61" w:rsidR="002A6D87" w:rsidRDefault="002A6D87" w:rsidP="002A6D87">
            <w:pPr>
              <w:jc w:val="both"/>
              <w:rPr>
                <w:sz w:val="22"/>
                <w:szCs w:val="22"/>
              </w:rPr>
            </w:pPr>
            <w:r w:rsidRPr="00F06301">
              <w:rPr>
                <w:sz w:val="22"/>
                <w:szCs w:val="22"/>
              </w:rPr>
              <w:t>Var samazināt uz 10% vai 5%, atkarībā no</w:t>
            </w:r>
            <w:r>
              <w:rPr>
                <w:sz w:val="22"/>
                <w:szCs w:val="22"/>
              </w:rPr>
              <w:t xml:space="preserve"> pārkāpuma būtiskuma.</w:t>
            </w:r>
          </w:p>
        </w:tc>
      </w:tr>
      <w:tr w:rsidR="002A6D87" w:rsidRPr="009D07C7" w14:paraId="6CE00B3E" w14:textId="77777777" w:rsidTr="002029E0">
        <w:trPr>
          <w:trHeight w:val="332"/>
        </w:trPr>
        <w:tc>
          <w:tcPr>
            <w:tcW w:w="276" w:type="pct"/>
            <w:tcBorders>
              <w:top w:val="single" w:sz="4" w:space="0" w:color="auto"/>
              <w:bottom w:val="single" w:sz="4" w:space="0" w:color="auto"/>
            </w:tcBorders>
          </w:tcPr>
          <w:p w14:paraId="4D2969B8" w14:textId="77777777" w:rsidR="002A6D87" w:rsidRPr="009D07C7" w:rsidRDefault="002A6D87" w:rsidP="002A6D87">
            <w:pPr>
              <w:numPr>
                <w:ilvl w:val="0"/>
                <w:numId w:val="1"/>
              </w:numPr>
              <w:rPr>
                <w:sz w:val="22"/>
                <w:szCs w:val="22"/>
              </w:rPr>
            </w:pPr>
          </w:p>
        </w:tc>
        <w:tc>
          <w:tcPr>
            <w:tcW w:w="1726" w:type="pct"/>
            <w:tcBorders>
              <w:top w:val="single" w:sz="4" w:space="0" w:color="auto"/>
              <w:bottom w:val="single" w:sz="4" w:space="0" w:color="auto"/>
            </w:tcBorders>
            <w:vAlign w:val="center"/>
          </w:tcPr>
          <w:p w14:paraId="62DB53D6" w14:textId="2C873A8A" w:rsidR="002A6D87" w:rsidRDefault="002A6D87" w:rsidP="002A6D87">
            <w:pPr>
              <w:jc w:val="both"/>
              <w:rPr>
                <w:i/>
                <w:sz w:val="22"/>
                <w:szCs w:val="22"/>
              </w:rPr>
            </w:pPr>
            <w:r>
              <w:rPr>
                <w:sz w:val="22"/>
                <w:szCs w:val="22"/>
              </w:rPr>
              <w:t>Atlases kritēriju grozīšana pēc piedāvājumu atvēršanas, kā rezultātā tiek nepamatoti noraidīti pretendenti</w:t>
            </w:r>
            <w:r w:rsidRPr="002214D9">
              <w:rPr>
                <w:i/>
                <w:sz w:val="22"/>
                <w:szCs w:val="22"/>
              </w:rPr>
              <w:t xml:space="preserve"> </w:t>
            </w:r>
          </w:p>
          <w:p w14:paraId="132C2AB6" w14:textId="77777777" w:rsidR="002A6D87" w:rsidRDefault="002A6D87" w:rsidP="002A6D87">
            <w:pPr>
              <w:jc w:val="both"/>
              <w:rPr>
                <w:i/>
                <w:sz w:val="22"/>
                <w:szCs w:val="22"/>
              </w:rPr>
            </w:pPr>
          </w:p>
          <w:p w14:paraId="206F4629" w14:textId="77777777" w:rsidR="002A6D87" w:rsidRPr="0010789B" w:rsidRDefault="002A6D87" w:rsidP="002A6D87">
            <w:pPr>
              <w:jc w:val="both"/>
              <w:rPr>
                <w:i/>
                <w:sz w:val="22"/>
                <w:szCs w:val="22"/>
              </w:rPr>
            </w:pPr>
            <w:r w:rsidRPr="002214D9">
              <w:rPr>
                <w:i/>
                <w:sz w:val="22"/>
                <w:szCs w:val="22"/>
              </w:rPr>
              <w:t>Direktīvas Nr.</w:t>
            </w:r>
            <w:r>
              <w:rPr>
                <w:i/>
                <w:sz w:val="22"/>
                <w:szCs w:val="22"/>
              </w:rPr>
              <w:t>2014/24/ES 18(1).pants, 56(1).panta pirmā daļa, 58(1).pants</w:t>
            </w:r>
          </w:p>
          <w:p w14:paraId="67E355A7" w14:textId="77777777" w:rsidR="002A6D87" w:rsidRDefault="002A6D87" w:rsidP="002A6D87">
            <w:pPr>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36(1).pants un 78(1).pants</w:t>
            </w:r>
          </w:p>
          <w:p w14:paraId="1759E1CE" w14:textId="77777777" w:rsidR="002A6D87" w:rsidRDefault="002A6D87" w:rsidP="002A6D87">
            <w:pPr>
              <w:jc w:val="both"/>
              <w:rPr>
                <w:sz w:val="22"/>
                <w:szCs w:val="22"/>
              </w:rPr>
            </w:pPr>
          </w:p>
          <w:p w14:paraId="48C9858B" w14:textId="6E385228" w:rsidR="002A6D87" w:rsidRPr="0010789B" w:rsidRDefault="002A6D87" w:rsidP="002A6D87">
            <w:pPr>
              <w:jc w:val="both"/>
              <w:rPr>
                <w:sz w:val="22"/>
                <w:szCs w:val="22"/>
              </w:rPr>
            </w:pPr>
            <w:r w:rsidRPr="00A2172D">
              <w:rPr>
                <w:sz w:val="22"/>
                <w:szCs w:val="22"/>
              </w:rPr>
              <w:t xml:space="preserve">(EK 19.12.2013. vadlīniju  2.1.sadaļas </w:t>
            </w:r>
            <w:r>
              <w:rPr>
                <w:sz w:val="22"/>
                <w:szCs w:val="22"/>
              </w:rPr>
              <w:t>14</w:t>
            </w:r>
            <w:r w:rsidRPr="00A2172D">
              <w:rPr>
                <w:sz w:val="22"/>
                <w:szCs w:val="22"/>
              </w:rPr>
              <w:t>.punkts)</w:t>
            </w:r>
          </w:p>
        </w:tc>
        <w:tc>
          <w:tcPr>
            <w:tcW w:w="2086" w:type="pct"/>
            <w:gridSpan w:val="2"/>
            <w:tcBorders>
              <w:top w:val="single" w:sz="4" w:space="0" w:color="auto"/>
              <w:bottom w:val="single" w:sz="4" w:space="0" w:color="auto"/>
            </w:tcBorders>
          </w:tcPr>
          <w:p w14:paraId="76150D32" w14:textId="55E933D5" w:rsidR="002A6D87" w:rsidRPr="00214C48" w:rsidRDefault="002A6D87" w:rsidP="00376C3F">
            <w:pPr>
              <w:jc w:val="both"/>
              <w:rPr>
                <w:sz w:val="22"/>
                <w:szCs w:val="22"/>
              </w:rPr>
            </w:pPr>
            <w:r w:rsidRPr="00214C48">
              <w:rPr>
                <w:sz w:val="22"/>
                <w:szCs w:val="22"/>
              </w:rPr>
              <w:t xml:space="preserve">Tika mainīti atlases kritēriji atlases laikā, kā rezultātā </w:t>
            </w:r>
            <w:r>
              <w:rPr>
                <w:sz w:val="22"/>
                <w:szCs w:val="22"/>
              </w:rPr>
              <w:t>tika noraidīti</w:t>
            </w:r>
            <w:r w:rsidRPr="00214C48">
              <w:rPr>
                <w:sz w:val="22"/>
                <w:szCs w:val="22"/>
              </w:rPr>
              <w:t xml:space="preserve"> pretendenti, </w:t>
            </w:r>
            <w:r>
              <w:rPr>
                <w:sz w:val="22"/>
                <w:szCs w:val="22"/>
              </w:rPr>
              <w:t xml:space="preserve">kuri būtu atbilstoši, ja ievērotu sākotnēji publicētos atlases kritērijus. </w:t>
            </w:r>
          </w:p>
        </w:tc>
        <w:tc>
          <w:tcPr>
            <w:tcW w:w="912" w:type="pct"/>
            <w:tcBorders>
              <w:top w:val="single" w:sz="4" w:space="0" w:color="auto"/>
              <w:bottom w:val="single" w:sz="4" w:space="0" w:color="auto"/>
            </w:tcBorders>
            <w:vAlign w:val="center"/>
          </w:tcPr>
          <w:p w14:paraId="0DBC9A89" w14:textId="77777777" w:rsidR="002A6D87" w:rsidRPr="00F06301" w:rsidRDefault="002A6D87" w:rsidP="002A6D87">
            <w:pPr>
              <w:jc w:val="both"/>
              <w:rPr>
                <w:sz w:val="22"/>
                <w:szCs w:val="22"/>
              </w:rPr>
            </w:pPr>
            <w:r w:rsidRPr="00F06301">
              <w:rPr>
                <w:sz w:val="22"/>
                <w:szCs w:val="22"/>
              </w:rPr>
              <w:t>25%</w:t>
            </w:r>
          </w:p>
          <w:p w14:paraId="17812FDF" w14:textId="77777777" w:rsidR="002A6D87" w:rsidRPr="00F06301" w:rsidRDefault="002A6D87" w:rsidP="002A6D87">
            <w:pPr>
              <w:jc w:val="both"/>
              <w:rPr>
                <w:sz w:val="22"/>
                <w:szCs w:val="22"/>
              </w:rPr>
            </w:pPr>
          </w:p>
          <w:p w14:paraId="20A81FFE" w14:textId="52164E09" w:rsidR="002A6D87" w:rsidRPr="00F06301" w:rsidRDefault="002A6D87" w:rsidP="002A6D87">
            <w:pPr>
              <w:jc w:val="both"/>
              <w:rPr>
                <w:sz w:val="22"/>
                <w:szCs w:val="22"/>
              </w:rPr>
            </w:pPr>
            <w:r w:rsidRPr="00F06301">
              <w:rPr>
                <w:sz w:val="22"/>
                <w:szCs w:val="22"/>
              </w:rPr>
              <w:t xml:space="preserve">Var samazināt uz 10% vai 5%, atkarībā no </w:t>
            </w:r>
            <w:r>
              <w:rPr>
                <w:sz w:val="22"/>
                <w:szCs w:val="22"/>
              </w:rPr>
              <w:t>pārkāpuma būtiskuma.</w:t>
            </w:r>
          </w:p>
        </w:tc>
      </w:tr>
      <w:tr w:rsidR="002A6D87" w:rsidRPr="009D07C7" w14:paraId="35C3216D" w14:textId="77777777" w:rsidTr="00096794">
        <w:trPr>
          <w:trHeight w:val="332"/>
        </w:trPr>
        <w:tc>
          <w:tcPr>
            <w:tcW w:w="276" w:type="pct"/>
            <w:tcBorders>
              <w:bottom w:val="single" w:sz="4" w:space="0" w:color="auto"/>
            </w:tcBorders>
          </w:tcPr>
          <w:p w14:paraId="71781904" w14:textId="77777777" w:rsidR="002A6D87" w:rsidRPr="009D07C7" w:rsidRDefault="002A6D87" w:rsidP="002A6D87">
            <w:pPr>
              <w:numPr>
                <w:ilvl w:val="0"/>
                <w:numId w:val="1"/>
              </w:numPr>
              <w:rPr>
                <w:sz w:val="22"/>
                <w:szCs w:val="22"/>
              </w:rPr>
            </w:pPr>
          </w:p>
        </w:tc>
        <w:tc>
          <w:tcPr>
            <w:tcW w:w="1726" w:type="pct"/>
            <w:tcBorders>
              <w:bottom w:val="single" w:sz="4" w:space="0" w:color="auto"/>
            </w:tcBorders>
            <w:shd w:val="clear" w:color="auto" w:fill="auto"/>
            <w:vAlign w:val="center"/>
          </w:tcPr>
          <w:p w14:paraId="1B8AB61F" w14:textId="7BB0A7F0" w:rsidR="002A6D87" w:rsidRPr="00E7492A" w:rsidRDefault="002A6D87" w:rsidP="002A6D87">
            <w:pPr>
              <w:autoSpaceDE w:val="0"/>
              <w:autoSpaceDN w:val="0"/>
              <w:adjustRightInd w:val="0"/>
              <w:jc w:val="both"/>
              <w:rPr>
                <w:sz w:val="22"/>
                <w:szCs w:val="22"/>
              </w:rPr>
            </w:pPr>
            <w:r w:rsidRPr="00E7492A">
              <w:rPr>
                <w:sz w:val="22"/>
                <w:szCs w:val="22"/>
              </w:rPr>
              <w:t>Pretendentu atlase</w:t>
            </w:r>
            <w:r w:rsidR="002349B3">
              <w:rPr>
                <w:sz w:val="22"/>
                <w:szCs w:val="22"/>
              </w:rPr>
              <w:t>,</w:t>
            </w:r>
            <w:r w:rsidRPr="00E7492A">
              <w:rPr>
                <w:sz w:val="22"/>
                <w:szCs w:val="22"/>
              </w:rPr>
              <w:t xml:space="preserve"> </w:t>
            </w:r>
            <w:r>
              <w:rPr>
                <w:sz w:val="22"/>
                <w:szCs w:val="22"/>
              </w:rPr>
              <w:t>piemērojot</w:t>
            </w:r>
            <w:r w:rsidRPr="00E7492A">
              <w:rPr>
                <w:sz w:val="22"/>
                <w:szCs w:val="22"/>
              </w:rPr>
              <w:t xml:space="preserve"> </w:t>
            </w:r>
            <w:r w:rsidR="00A75167">
              <w:rPr>
                <w:sz w:val="22"/>
                <w:szCs w:val="22"/>
              </w:rPr>
              <w:t>neatbilstošus</w:t>
            </w:r>
            <w:r w:rsidR="00A75167" w:rsidRPr="00E7492A">
              <w:rPr>
                <w:sz w:val="22"/>
                <w:szCs w:val="22"/>
              </w:rPr>
              <w:t xml:space="preserve"> </w:t>
            </w:r>
            <w:r w:rsidRPr="00E7492A">
              <w:rPr>
                <w:sz w:val="22"/>
                <w:szCs w:val="22"/>
              </w:rPr>
              <w:t>atlases vai vērtēšanas kritērijus</w:t>
            </w:r>
          </w:p>
          <w:p w14:paraId="337984AD" w14:textId="77777777" w:rsidR="002A6D87" w:rsidRDefault="002A6D87" w:rsidP="002A6D87">
            <w:pPr>
              <w:jc w:val="both"/>
              <w:rPr>
                <w:sz w:val="22"/>
                <w:szCs w:val="22"/>
              </w:rPr>
            </w:pPr>
          </w:p>
          <w:p w14:paraId="57E3AA47" w14:textId="77777777" w:rsidR="002A6D87" w:rsidRPr="002214D9" w:rsidRDefault="002A6D87" w:rsidP="002A6D87">
            <w:pPr>
              <w:jc w:val="both"/>
              <w:rPr>
                <w:i/>
                <w:sz w:val="22"/>
                <w:szCs w:val="22"/>
              </w:rPr>
            </w:pPr>
            <w:r w:rsidRPr="002214D9">
              <w:rPr>
                <w:i/>
                <w:sz w:val="22"/>
                <w:szCs w:val="22"/>
              </w:rPr>
              <w:t>Direktīvas Nr.</w:t>
            </w:r>
            <w:r>
              <w:rPr>
                <w:i/>
                <w:sz w:val="22"/>
                <w:szCs w:val="22"/>
              </w:rPr>
              <w:t>2014/24/ES 67.panta 1., 2. un 5.punkts</w:t>
            </w:r>
          </w:p>
          <w:p w14:paraId="54083FEE" w14:textId="77777777" w:rsidR="002A6D87" w:rsidRDefault="002A6D87" w:rsidP="002A6D87">
            <w:pPr>
              <w:autoSpaceDE w:val="0"/>
              <w:autoSpaceDN w:val="0"/>
              <w:adjustRightInd w:val="0"/>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82. panta 1., 2. un 5.punkts</w:t>
            </w:r>
          </w:p>
          <w:p w14:paraId="5B897B01" w14:textId="77777777" w:rsidR="002A6D87" w:rsidRDefault="002A6D87" w:rsidP="002A6D87">
            <w:pPr>
              <w:autoSpaceDE w:val="0"/>
              <w:autoSpaceDN w:val="0"/>
              <w:adjustRightInd w:val="0"/>
              <w:rPr>
                <w:rFonts w:ascii="TimesNewRoman,Bold" w:eastAsia="Calibri" w:hAnsi="TimesNewRoman,Bold" w:cs="TimesNewRoman,Bold"/>
                <w:b/>
                <w:bCs/>
                <w:lang w:val="en-US" w:eastAsia="en-US"/>
              </w:rPr>
            </w:pPr>
          </w:p>
          <w:p w14:paraId="2764B58D" w14:textId="4440C4A2" w:rsidR="002A6D87" w:rsidRPr="0010789B" w:rsidRDefault="002A6D87" w:rsidP="002A6D87">
            <w:pPr>
              <w:jc w:val="both"/>
              <w:rPr>
                <w:sz w:val="22"/>
                <w:szCs w:val="22"/>
              </w:rPr>
            </w:pPr>
            <w:r w:rsidRPr="00A2172D">
              <w:rPr>
                <w:sz w:val="22"/>
                <w:szCs w:val="22"/>
              </w:rPr>
              <w:t xml:space="preserve">(EK 19.12.2013. vadlīniju  2.1.sadaļas </w:t>
            </w:r>
            <w:r>
              <w:rPr>
                <w:sz w:val="22"/>
                <w:szCs w:val="22"/>
              </w:rPr>
              <w:t>15</w:t>
            </w:r>
            <w:r w:rsidRPr="00A2172D">
              <w:rPr>
                <w:sz w:val="22"/>
                <w:szCs w:val="22"/>
              </w:rPr>
              <w:t>.punkts)</w:t>
            </w:r>
          </w:p>
        </w:tc>
        <w:tc>
          <w:tcPr>
            <w:tcW w:w="2086" w:type="pct"/>
            <w:gridSpan w:val="2"/>
            <w:tcBorders>
              <w:bottom w:val="single" w:sz="4" w:space="0" w:color="auto"/>
            </w:tcBorders>
            <w:vAlign w:val="center"/>
          </w:tcPr>
          <w:p w14:paraId="03C44A94" w14:textId="712F0B6C" w:rsidR="002A6D87" w:rsidRPr="00096794" w:rsidRDefault="002A6D87" w:rsidP="002A6D87">
            <w:pPr>
              <w:jc w:val="both"/>
              <w:rPr>
                <w:sz w:val="22"/>
                <w:szCs w:val="22"/>
              </w:rPr>
            </w:pPr>
            <w:r>
              <w:rPr>
                <w:sz w:val="22"/>
                <w:szCs w:val="22"/>
              </w:rPr>
              <w:t xml:space="preserve">Pretendentu </w:t>
            </w:r>
            <w:r w:rsidRPr="00096794">
              <w:rPr>
                <w:sz w:val="22"/>
                <w:szCs w:val="22"/>
              </w:rPr>
              <w:t xml:space="preserve">vērtēšanas posmā nav piemēroti tie atlases kritēriji vai </w:t>
            </w:r>
            <w:r w:rsidR="00096794" w:rsidRPr="00096794">
              <w:rPr>
                <w:sz w:val="22"/>
                <w:szCs w:val="22"/>
              </w:rPr>
              <w:t xml:space="preserve">piedāvājuma izvērtēšanas </w:t>
            </w:r>
            <w:r w:rsidRPr="00096794">
              <w:rPr>
                <w:sz w:val="22"/>
                <w:szCs w:val="22"/>
              </w:rPr>
              <w:t xml:space="preserve">kritēriji (vai attiecīgie apakškritēriji vai vērtējuma svars), kas noteikti paziņojumā par līgumu vai iepirkuma dokumentācijā. </w:t>
            </w:r>
          </w:p>
          <w:p w14:paraId="5D95A8E1" w14:textId="77777777" w:rsidR="002A6D87" w:rsidRPr="00214C48" w:rsidRDefault="002A6D87" w:rsidP="002A6D87">
            <w:pPr>
              <w:jc w:val="both"/>
              <w:rPr>
                <w:sz w:val="22"/>
                <w:szCs w:val="22"/>
              </w:rPr>
            </w:pPr>
          </w:p>
        </w:tc>
        <w:tc>
          <w:tcPr>
            <w:tcW w:w="912" w:type="pct"/>
            <w:tcBorders>
              <w:bottom w:val="single" w:sz="4" w:space="0" w:color="auto"/>
            </w:tcBorders>
            <w:vAlign w:val="center"/>
          </w:tcPr>
          <w:p w14:paraId="1C6DCD6F" w14:textId="77777777" w:rsidR="002A6D87" w:rsidRPr="00F06301" w:rsidRDefault="002A6D87" w:rsidP="002A6D87">
            <w:pPr>
              <w:jc w:val="both"/>
              <w:rPr>
                <w:sz w:val="22"/>
                <w:szCs w:val="22"/>
              </w:rPr>
            </w:pPr>
            <w:r w:rsidRPr="00F06301">
              <w:rPr>
                <w:sz w:val="22"/>
                <w:szCs w:val="22"/>
              </w:rPr>
              <w:t>25%</w:t>
            </w:r>
          </w:p>
          <w:p w14:paraId="3B6EE19C" w14:textId="77777777" w:rsidR="002A6D87" w:rsidRPr="00F06301" w:rsidRDefault="002A6D87" w:rsidP="002A6D87">
            <w:pPr>
              <w:jc w:val="both"/>
              <w:rPr>
                <w:sz w:val="22"/>
                <w:szCs w:val="22"/>
              </w:rPr>
            </w:pPr>
          </w:p>
          <w:p w14:paraId="517CA497" w14:textId="27D1DFAF" w:rsidR="002A6D87" w:rsidRPr="00F06301" w:rsidRDefault="002A6D87" w:rsidP="002A6D87">
            <w:pPr>
              <w:jc w:val="both"/>
              <w:rPr>
                <w:sz w:val="22"/>
                <w:szCs w:val="22"/>
              </w:rPr>
            </w:pPr>
            <w:r w:rsidRPr="00F06301">
              <w:rPr>
                <w:sz w:val="22"/>
                <w:szCs w:val="22"/>
              </w:rPr>
              <w:t xml:space="preserve">Var samazināt uz 10% vai 5%, atkarībā no </w:t>
            </w:r>
            <w:r>
              <w:rPr>
                <w:sz w:val="22"/>
                <w:szCs w:val="22"/>
              </w:rPr>
              <w:t>pārkāpuma būtiskuma.</w:t>
            </w:r>
          </w:p>
        </w:tc>
      </w:tr>
      <w:tr w:rsidR="002A6D87" w:rsidRPr="009D07C7" w14:paraId="01506E48" w14:textId="77777777" w:rsidTr="00952CF5">
        <w:trPr>
          <w:trHeight w:val="332"/>
        </w:trPr>
        <w:tc>
          <w:tcPr>
            <w:tcW w:w="276" w:type="pct"/>
            <w:tcBorders>
              <w:bottom w:val="single" w:sz="4" w:space="0" w:color="auto"/>
            </w:tcBorders>
          </w:tcPr>
          <w:p w14:paraId="0B0E1B0A" w14:textId="77777777" w:rsidR="002A6D87" w:rsidRPr="009D07C7" w:rsidRDefault="002A6D87" w:rsidP="002A6D87">
            <w:pPr>
              <w:numPr>
                <w:ilvl w:val="0"/>
                <w:numId w:val="1"/>
              </w:numPr>
              <w:rPr>
                <w:sz w:val="22"/>
                <w:szCs w:val="22"/>
              </w:rPr>
            </w:pPr>
          </w:p>
        </w:tc>
        <w:tc>
          <w:tcPr>
            <w:tcW w:w="1726" w:type="pct"/>
            <w:tcBorders>
              <w:bottom w:val="single" w:sz="4" w:space="0" w:color="auto"/>
            </w:tcBorders>
          </w:tcPr>
          <w:p w14:paraId="702E953D" w14:textId="41AEE584" w:rsidR="002A6D87" w:rsidRDefault="002A6D87" w:rsidP="002A6D87">
            <w:pPr>
              <w:jc w:val="both"/>
              <w:rPr>
                <w:sz w:val="22"/>
                <w:szCs w:val="22"/>
              </w:rPr>
            </w:pPr>
            <w:r>
              <w:rPr>
                <w:sz w:val="22"/>
                <w:szCs w:val="22"/>
              </w:rPr>
              <w:t>P</w:t>
            </w:r>
            <w:r w:rsidRPr="006A7B64">
              <w:rPr>
                <w:sz w:val="22"/>
                <w:szCs w:val="22"/>
              </w:rPr>
              <w:t>ārredzamības</w:t>
            </w:r>
            <w:r>
              <w:rPr>
                <w:sz w:val="22"/>
                <w:szCs w:val="22"/>
              </w:rPr>
              <w:t xml:space="preserve"> (caurspīdīguma) un/vai vienlīdzīgas attieksmes trūkums piedāvājumu</w:t>
            </w:r>
            <w:r w:rsidR="00096794">
              <w:rPr>
                <w:sz w:val="22"/>
                <w:szCs w:val="22"/>
              </w:rPr>
              <w:t>/pieteikumu</w:t>
            </w:r>
            <w:r>
              <w:rPr>
                <w:sz w:val="22"/>
                <w:szCs w:val="22"/>
              </w:rPr>
              <w:t xml:space="preserve"> vērtēšanas posmā. </w:t>
            </w:r>
          </w:p>
          <w:p w14:paraId="46203660" w14:textId="77777777" w:rsidR="002A6D87" w:rsidRDefault="002A6D87" w:rsidP="002A6D87">
            <w:pPr>
              <w:jc w:val="both"/>
              <w:rPr>
                <w:sz w:val="22"/>
                <w:szCs w:val="22"/>
              </w:rPr>
            </w:pPr>
          </w:p>
          <w:p w14:paraId="5CD2EC65" w14:textId="77777777" w:rsidR="002A6D87" w:rsidRDefault="002A6D87" w:rsidP="002A6D87">
            <w:pPr>
              <w:jc w:val="both"/>
              <w:rPr>
                <w:i/>
                <w:sz w:val="22"/>
                <w:szCs w:val="22"/>
              </w:rPr>
            </w:pPr>
            <w:r w:rsidRPr="002214D9">
              <w:rPr>
                <w:i/>
                <w:sz w:val="22"/>
                <w:szCs w:val="22"/>
              </w:rPr>
              <w:t>Direktīvas Nr.</w:t>
            </w:r>
            <w:r>
              <w:rPr>
                <w:i/>
                <w:sz w:val="22"/>
                <w:szCs w:val="22"/>
              </w:rPr>
              <w:t>2014/24/ES 18(1).pants, 84.pants</w:t>
            </w:r>
          </w:p>
          <w:p w14:paraId="22C3D1A2" w14:textId="77777777" w:rsidR="002A6D87" w:rsidRDefault="002A6D87" w:rsidP="002A6D87">
            <w:pPr>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36(1).pants</w:t>
            </w:r>
          </w:p>
          <w:p w14:paraId="4D4DFFC1" w14:textId="77777777" w:rsidR="002A6D87" w:rsidRDefault="002A6D87" w:rsidP="002A6D87">
            <w:pPr>
              <w:jc w:val="both"/>
              <w:rPr>
                <w:sz w:val="22"/>
                <w:szCs w:val="22"/>
              </w:rPr>
            </w:pPr>
          </w:p>
          <w:p w14:paraId="37300B07" w14:textId="44596907" w:rsidR="002A6D87" w:rsidRPr="00E7492A" w:rsidRDefault="002A6D87" w:rsidP="002A6D87">
            <w:pPr>
              <w:autoSpaceDE w:val="0"/>
              <w:autoSpaceDN w:val="0"/>
              <w:adjustRightInd w:val="0"/>
              <w:jc w:val="both"/>
              <w:rPr>
                <w:sz w:val="22"/>
                <w:szCs w:val="22"/>
              </w:rPr>
            </w:pPr>
            <w:r w:rsidRPr="00A2172D">
              <w:rPr>
                <w:sz w:val="22"/>
                <w:szCs w:val="22"/>
              </w:rPr>
              <w:t xml:space="preserve">(EK 19.12.2013. vadlīniju  2.1.sadaļas </w:t>
            </w:r>
            <w:r>
              <w:rPr>
                <w:sz w:val="22"/>
                <w:szCs w:val="22"/>
              </w:rPr>
              <w:t>16</w:t>
            </w:r>
            <w:r w:rsidRPr="00A2172D">
              <w:rPr>
                <w:sz w:val="22"/>
                <w:szCs w:val="22"/>
              </w:rPr>
              <w:t>.punkts)</w:t>
            </w:r>
          </w:p>
        </w:tc>
        <w:tc>
          <w:tcPr>
            <w:tcW w:w="2086" w:type="pct"/>
            <w:gridSpan w:val="2"/>
            <w:tcBorders>
              <w:bottom w:val="single" w:sz="4" w:space="0" w:color="auto"/>
            </w:tcBorders>
          </w:tcPr>
          <w:p w14:paraId="351F0A2F" w14:textId="50D519A9" w:rsidR="002A6D87" w:rsidRPr="006A7B64" w:rsidRDefault="002A6D87" w:rsidP="002A6D87">
            <w:pPr>
              <w:jc w:val="both"/>
              <w:rPr>
                <w:sz w:val="22"/>
                <w:szCs w:val="22"/>
              </w:rPr>
            </w:pPr>
            <w:r w:rsidRPr="006A7B64">
              <w:rPr>
                <w:sz w:val="22"/>
                <w:szCs w:val="22"/>
              </w:rPr>
              <w:t>Revīzijas (audita) liecības, jo īpaši attiecībā uz vērtēšanas laikā piešķirtajiem punktiem</w:t>
            </w:r>
            <w:r w:rsidR="00376C3F">
              <w:rPr>
                <w:sz w:val="22"/>
                <w:szCs w:val="22"/>
              </w:rPr>
              <w:t xml:space="preserve"> </w:t>
            </w:r>
            <w:r w:rsidRPr="006A7B64">
              <w:rPr>
                <w:sz w:val="22"/>
                <w:szCs w:val="22"/>
              </w:rPr>
              <w:t>katram piedāvājumam</w:t>
            </w:r>
            <w:r w:rsidR="00096794">
              <w:rPr>
                <w:sz w:val="22"/>
                <w:szCs w:val="22"/>
              </w:rPr>
              <w:t>/pieteikumam</w:t>
            </w:r>
            <w:r>
              <w:rPr>
                <w:sz w:val="22"/>
                <w:szCs w:val="22"/>
              </w:rPr>
              <w:t>,</w:t>
            </w:r>
            <w:r w:rsidRPr="006A7B64">
              <w:rPr>
                <w:sz w:val="22"/>
                <w:szCs w:val="22"/>
              </w:rPr>
              <w:t xml:space="preserve"> ir neskaidras / nepamatotas /</w:t>
            </w:r>
            <w:r>
              <w:rPr>
                <w:sz w:val="22"/>
                <w:szCs w:val="22"/>
              </w:rPr>
              <w:t xml:space="preserve"> </w:t>
            </w:r>
            <w:r w:rsidRPr="006A7B64">
              <w:rPr>
                <w:sz w:val="22"/>
                <w:szCs w:val="22"/>
              </w:rPr>
              <w:t xml:space="preserve">trūkst pārredzamības (caurspīdīguma) vai </w:t>
            </w:r>
            <w:r>
              <w:rPr>
                <w:sz w:val="22"/>
                <w:szCs w:val="22"/>
              </w:rPr>
              <w:t xml:space="preserve">tās </w:t>
            </w:r>
            <w:r w:rsidRPr="006A7B64">
              <w:rPr>
                <w:sz w:val="22"/>
                <w:szCs w:val="22"/>
              </w:rPr>
              <w:t>ne</w:t>
            </w:r>
            <w:r>
              <w:rPr>
                <w:sz w:val="22"/>
                <w:szCs w:val="22"/>
              </w:rPr>
              <w:t>pastāv (nav pieejamas)</w:t>
            </w:r>
            <w:r w:rsidRPr="006A7B64">
              <w:rPr>
                <w:sz w:val="22"/>
                <w:szCs w:val="22"/>
              </w:rPr>
              <w:t>.</w:t>
            </w:r>
          </w:p>
          <w:p w14:paraId="7A533891" w14:textId="77777777" w:rsidR="002A6D87" w:rsidRPr="006A7B64" w:rsidRDefault="002A6D87" w:rsidP="002A6D87">
            <w:pPr>
              <w:jc w:val="both"/>
              <w:rPr>
                <w:sz w:val="22"/>
                <w:szCs w:val="22"/>
              </w:rPr>
            </w:pPr>
            <w:r>
              <w:rPr>
                <w:sz w:val="22"/>
                <w:szCs w:val="22"/>
              </w:rPr>
              <w:t>Un/vai</w:t>
            </w:r>
          </w:p>
          <w:p w14:paraId="4923CE74" w14:textId="5E2E1C62" w:rsidR="002A6D87" w:rsidRDefault="002A6D87" w:rsidP="002A6D87">
            <w:pPr>
              <w:jc w:val="both"/>
              <w:rPr>
                <w:sz w:val="22"/>
                <w:szCs w:val="22"/>
              </w:rPr>
            </w:pPr>
            <w:r>
              <w:rPr>
                <w:sz w:val="22"/>
                <w:szCs w:val="22"/>
              </w:rPr>
              <w:t>Piedāvājuma</w:t>
            </w:r>
            <w:r w:rsidR="00096794">
              <w:rPr>
                <w:sz w:val="22"/>
                <w:szCs w:val="22"/>
              </w:rPr>
              <w:t>/pieteikuma</w:t>
            </w:r>
            <w:r>
              <w:rPr>
                <w:sz w:val="22"/>
                <w:szCs w:val="22"/>
              </w:rPr>
              <w:t xml:space="preserve"> vērtēšanas</w:t>
            </w:r>
            <w:r w:rsidRPr="006A7B64">
              <w:rPr>
                <w:sz w:val="22"/>
                <w:szCs w:val="22"/>
              </w:rPr>
              <w:t xml:space="preserve"> ziņojums neeksistē vai </w:t>
            </w:r>
            <w:r>
              <w:rPr>
                <w:sz w:val="22"/>
                <w:szCs w:val="22"/>
              </w:rPr>
              <w:t xml:space="preserve">tas neietver visus elementus, </w:t>
            </w:r>
            <w:r w:rsidRPr="006A7B64">
              <w:rPr>
                <w:sz w:val="22"/>
                <w:szCs w:val="22"/>
              </w:rPr>
              <w:t>kas vajadzīgi saskaņā ar</w:t>
            </w:r>
            <w:r>
              <w:rPr>
                <w:sz w:val="22"/>
                <w:szCs w:val="22"/>
              </w:rPr>
              <w:t xml:space="preserve"> nacionālajiem normatīvajiem aktiem</w:t>
            </w:r>
            <w:r w:rsidRPr="006A7B64">
              <w:rPr>
                <w:sz w:val="22"/>
                <w:szCs w:val="22"/>
              </w:rPr>
              <w:t>.</w:t>
            </w:r>
          </w:p>
        </w:tc>
        <w:tc>
          <w:tcPr>
            <w:tcW w:w="912" w:type="pct"/>
            <w:tcBorders>
              <w:bottom w:val="single" w:sz="4" w:space="0" w:color="auto"/>
            </w:tcBorders>
            <w:vAlign w:val="center"/>
          </w:tcPr>
          <w:p w14:paraId="7322A065" w14:textId="77777777" w:rsidR="002A6D87" w:rsidRPr="00F06301" w:rsidRDefault="002A6D87" w:rsidP="002A6D87">
            <w:pPr>
              <w:jc w:val="both"/>
              <w:rPr>
                <w:sz w:val="22"/>
                <w:szCs w:val="22"/>
              </w:rPr>
            </w:pPr>
            <w:r w:rsidRPr="00F06301">
              <w:rPr>
                <w:sz w:val="22"/>
                <w:szCs w:val="22"/>
              </w:rPr>
              <w:t>25%</w:t>
            </w:r>
          </w:p>
          <w:p w14:paraId="127028AC" w14:textId="77777777" w:rsidR="002A6D87" w:rsidRPr="00F06301" w:rsidRDefault="002A6D87" w:rsidP="002A6D87">
            <w:pPr>
              <w:jc w:val="both"/>
              <w:rPr>
                <w:sz w:val="22"/>
                <w:szCs w:val="22"/>
              </w:rPr>
            </w:pPr>
          </w:p>
          <w:p w14:paraId="7DB419D8" w14:textId="73D50A33" w:rsidR="002A6D87" w:rsidRPr="00F06301" w:rsidRDefault="002A6D87" w:rsidP="002A6D87">
            <w:pPr>
              <w:jc w:val="both"/>
              <w:rPr>
                <w:sz w:val="22"/>
                <w:szCs w:val="22"/>
              </w:rPr>
            </w:pPr>
            <w:r w:rsidRPr="00F06301">
              <w:rPr>
                <w:sz w:val="22"/>
                <w:szCs w:val="22"/>
              </w:rPr>
              <w:t xml:space="preserve">Var samazināt uz 10% vai 5%, atkarībā no </w:t>
            </w:r>
            <w:r>
              <w:rPr>
                <w:sz w:val="22"/>
                <w:szCs w:val="22"/>
              </w:rPr>
              <w:t>pārkāpuma būtiskuma.</w:t>
            </w:r>
          </w:p>
        </w:tc>
      </w:tr>
      <w:tr w:rsidR="006A721B" w:rsidRPr="009D07C7" w14:paraId="7F0EDD44" w14:textId="77777777" w:rsidTr="00952CF5">
        <w:trPr>
          <w:trHeight w:val="332"/>
        </w:trPr>
        <w:tc>
          <w:tcPr>
            <w:tcW w:w="276" w:type="pct"/>
            <w:tcBorders>
              <w:bottom w:val="single" w:sz="4" w:space="0" w:color="auto"/>
            </w:tcBorders>
          </w:tcPr>
          <w:p w14:paraId="2E8F967C" w14:textId="77777777" w:rsidR="006A721B" w:rsidRPr="009D07C7" w:rsidRDefault="006A721B" w:rsidP="006A721B">
            <w:pPr>
              <w:numPr>
                <w:ilvl w:val="0"/>
                <w:numId w:val="1"/>
              </w:numPr>
              <w:rPr>
                <w:sz w:val="22"/>
                <w:szCs w:val="22"/>
              </w:rPr>
            </w:pPr>
          </w:p>
        </w:tc>
        <w:tc>
          <w:tcPr>
            <w:tcW w:w="1726" w:type="pct"/>
            <w:tcBorders>
              <w:bottom w:val="single" w:sz="4" w:space="0" w:color="auto"/>
            </w:tcBorders>
          </w:tcPr>
          <w:p w14:paraId="228CFC0C" w14:textId="1A6B742D" w:rsidR="006A721B" w:rsidRDefault="006A721B" w:rsidP="006A721B">
            <w:pPr>
              <w:autoSpaceDE w:val="0"/>
              <w:autoSpaceDN w:val="0"/>
              <w:adjustRightInd w:val="0"/>
              <w:rPr>
                <w:sz w:val="22"/>
                <w:szCs w:val="22"/>
              </w:rPr>
            </w:pPr>
            <w:r w:rsidRPr="00D05237">
              <w:rPr>
                <w:sz w:val="22"/>
                <w:szCs w:val="22"/>
              </w:rPr>
              <w:t>Pied</w:t>
            </w:r>
            <w:r w:rsidRPr="00D05237">
              <w:rPr>
                <w:rFonts w:hint="eastAsia"/>
                <w:sz w:val="22"/>
                <w:szCs w:val="22"/>
              </w:rPr>
              <w:t>ā</w:t>
            </w:r>
            <w:r w:rsidRPr="00D05237">
              <w:rPr>
                <w:sz w:val="22"/>
                <w:szCs w:val="22"/>
              </w:rPr>
              <w:t>v</w:t>
            </w:r>
            <w:r w:rsidRPr="00D05237">
              <w:rPr>
                <w:rFonts w:hint="eastAsia"/>
                <w:sz w:val="22"/>
                <w:szCs w:val="22"/>
              </w:rPr>
              <w:t>ā</w:t>
            </w:r>
            <w:r w:rsidRPr="00D05237">
              <w:rPr>
                <w:sz w:val="22"/>
                <w:szCs w:val="22"/>
              </w:rPr>
              <w:t>juma p</w:t>
            </w:r>
            <w:r w:rsidRPr="00D05237">
              <w:rPr>
                <w:rFonts w:hint="eastAsia"/>
                <w:sz w:val="22"/>
                <w:szCs w:val="22"/>
              </w:rPr>
              <w:t>ā</w:t>
            </w:r>
            <w:r w:rsidRPr="00D05237">
              <w:rPr>
                <w:sz w:val="22"/>
                <w:szCs w:val="22"/>
              </w:rPr>
              <w:t>rveido</w:t>
            </w:r>
            <w:r w:rsidRPr="00D05237">
              <w:rPr>
                <w:rFonts w:hint="eastAsia"/>
                <w:sz w:val="22"/>
                <w:szCs w:val="22"/>
              </w:rPr>
              <w:t>š</w:t>
            </w:r>
            <w:r w:rsidRPr="00D05237">
              <w:rPr>
                <w:sz w:val="22"/>
                <w:szCs w:val="22"/>
              </w:rPr>
              <w:t>ana</w:t>
            </w:r>
            <w:r>
              <w:rPr>
                <w:sz w:val="22"/>
                <w:szCs w:val="22"/>
              </w:rPr>
              <w:t xml:space="preserve"> </w:t>
            </w:r>
            <w:r w:rsidRPr="00D05237">
              <w:rPr>
                <w:sz w:val="22"/>
                <w:szCs w:val="22"/>
              </w:rPr>
              <w:t>nov</w:t>
            </w:r>
            <w:r w:rsidRPr="00D05237">
              <w:rPr>
                <w:rFonts w:hint="eastAsia"/>
                <w:sz w:val="22"/>
                <w:szCs w:val="22"/>
              </w:rPr>
              <w:t>ē</w:t>
            </w:r>
            <w:r w:rsidRPr="00D05237">
              <w:rPr>
                <w:sz w:val="22"/>
                <w:szCs w:val="22"/>
              </w:rPr>
              <w:t>rt</w:t>
            </w:r>
            <w:r w:rsidRPr="00D05237">
              <w:rPr>
                <w:rFonts w:hint="eastAsia"/>
                <w:sz w:val="22"/>
                <w:szCs w:val="22"/>
              </w:rPr>
              <w:t>ēš</w:t>
            </w:r>
            <w:r w:rsidRPr="00D05237">
              <w:rPr>
                <w:sz w:val="22"/>
                <w:szCs w:val="22"/>
              </w:rPr>
              <w:t>anas laik</w:t>
            </w:r>
            <w:r w:rsidRPr="00D05237">
              <w:rPr>
                <w:rFonts w:hint="eastAsia"/>
                <w:sz w:val="22"/>
                <w:szCs w:val="22"/>
              </w:rPr>
              <w:t>ā</w:t>
            </w:r>
          </w:p>
          <w:p w14:paraId="27549108" w14:textId="77777777" w:rsidR="006A721B" w:rsidRDefault="006A721B" w:rsidP="006A721B">
            <w:pPr>
              <w:autoSpaceDE w:val="0"/>
              <w:autoSpaceDN w:val="0"/>
              <w:adjustRightInd w:val="0"/>
              <w:rPr>
                <w:sz w:val="22"/>
                <w:szCs w:val="22"/>
              </w:rPr>
            </w:pPr>
          </w:p>
          <w:p w14:paraId="325CEF70" w14:textId="77777777" w:rsidR="006A721B" w:rsidRPr="009E6445" w:rsidRDefault="006A721B" w:rsidP="006A721B">
            <w:pPr>
              <w:jc w:val="both"/>
              <w:rPr>
                <w:i/>
                <w:sz w:val="22"/>
                <w:szCs w:val="22"/>
              </w:rPr>
            </w:pPr>
            <w:r w:rsidRPr="009E6445">
              <w:rPr>
                <w:i/>
                <w:sz w:val="22"/>
                <w:szCs w:val="22"/>
              </w:rPr>
              <w:t>Direktīvas Nr.2014/24/ES 18(1).pants</w:t>
            </w:r>
          </w:p>
          <w:p w14:paraId="325A5B74" w14:textId="77777777" w:rsidR="006A721B" w:rsidRPr="009E6445" w:rsidRDefault="006A721B" w:rsidP="006A721B">
            <w:pPr>
              <w:jc w:val="both"/>
              <w:rPr>
                <w:i/>
                <w:sz w:val="22"/>
                <w:szCs w:val="22"/>
              </w:rPr>
            </w:pPr>
            <w:r w:rsidRPr="009E6445">
              <w:rPr>
                <w:i/>
                <w:sz w:val="22"/>
                <w:szCs w:val="22"/>
              </w:rPr>
              <w:t>Direktīvas Nr.2014/25/ES 36(1).pants</w:t>
            </w:r>
          </w:p>
          <w:p w14:paraId="04E54A81" w14:textId="77777777" w:rsidR="006A721B" w:rsidRDefault="006A721B" w:rsidP="006A721B">
            <w:pPr>
              <w:jc w:val="both"/>
              <w:rPr>
                <w:sz w:val="22"/>
                <w:szCs w:val="22"/>
              </w:rPr>
            </w:pPr>
          </w:p>
          <w:p w14:paraId="558CD2BC" w14:textId="29B313B7" w:rsidR="006A721B" w:rsidRDefault="006A721B" w:rsidP="006A721B">
            <w:pPr>
              <w:jc w:val="both"/>
              <w:rPr>
                <w:sz w:val="22"/>
                <w:szCs w:val="22"/>
              </w:rPr>
            </w:pPr>
            <w:r w:rsidRPr="009E6445">
              <w:rPr>
                <w:sz w:val="22"/>
                <w:szCs w:val="22"/>
              </w:rPr>
              <w:t>(EK 19.12.2013. vadlīniju  2.1.sadaļas 1</w:t>
            </w:r>
            <w:r>
              <w:rPr>
                <w:sz w:val="22"/>
                <w:szCs w:val="22"/>
              </w:rPr>
              <w:t>7</w:t>
            </w:r>
            <w:r w:rsidRPr="009E6445">
              <w:rPr>
                <w:sz w:val="22"/>
                <w:szCs w:val="22"/>
              </w:rPr>
              <w:t>.punkts)</w:t>
            </w:r>
          </w:p>
        </w:tc>
        <w:tc>
          <w:tcPr>
            <w:tcW w:w="2086" w:type="pct"/>
            <w:gridSpan w:val="2"/>
            <w:tcBorders>
              <w:bottom w:val="single" w:sz="4" w:space="0" w:color="auto"/>
            </w:tcBorders>
          </w:tcPr>
          <w:p w14:paraId="167D5F46" w14:textId="28BC5940" w:rsidR="006A721B" w:rsidRPr="006A7B64" w:rsidRDefault="002B239D" w:rsidP="002B239D">
            <w:pPr>
              <w:jc w:val="both"/>
              <w:rPr>
                <w:sz w:val="22"/>
                <w:szCs w:val="22"/>
              </w:rPr>
            </w:pPr>
            <w:r>
              <w:rPr>
                <w:sz w:val="22"/>
                <w:szCs w:val="22"/>
              </w:rPr>
              <w:t>Līgumslēdzēja iestāde</w:t>
            </w:r>
            <w:r w:rsidRPr="009A0DBC">
              <w:rPr>
                <w:sz w:val="22"/>
                <w:szCs w:val="22"/>
              </w:rPr>
              <w:t xml:space="preserve"> </w:t>
            </w:r>
            <w:r w:rsidR="006A721B" w:rsidRPr="006A721B">
              <w:rPr>
                <w:rFonts w:hint="eastAsia"/>
                <w:sz w:val="22"/>
                <w:szCs w:val="22"/>
              </w:rPr>
              <w:t>ļ</w:t>
            </w:r>
            <w:r w:rsidR="006A721B" w:rsidRPr="006A721B">
              <w:rPr>
                <w:sz w:val="22"/>
                <w:szCs w:val="22"/>
              </w:rPr>
              <w:t>auj piegād</w:t>
            </w:r>
            <w:r w:rsidR="006A721B">
              <w:rPr>
                <w:sz w:val="22"/>
                <w:szCs w:val="22"/>
              </w:rPr>
              <w:t>ātā</w:t>
            </w:r>
            <w:r w:rsidR="006A721B" w:rsidRPr="006A721B">
              <w:rPr>
                <w:sz w:val="22"/>
                <w:szCs w:val="22"/>
              </w:rPr>
              <w:t>jam p</w:t>
            </w:r>
            <w:r w:rsidR="006A721B" w:rsidRPr="006A721B">
              <w:rPr>
                <w:rFonts w:hint="eastAsia"/>
                <w:sz w:val="22"/>
                <w:szCs w:val="22"/>
              </w:rPr>
              <w:t>ā</w:t>
            </w:r>
            <w:r w:rsidR="006A721B" w:rsidRPr="006A721B">
              <w:rPr>
                <w:sz w:val="22"/>
                <w:szCs w:val="22"/>
              </w:rPr>
              <w:t>rveidot savu pied</w:t>
            </w:r>
            <w:r w:rsidR="006A721B" w:rsidRPr="006A721B">
              <w:rPr>
                <w:rFonts w:hint="eastAsia"/>
                <w:sz w:val="22"/>
                <w:szCs w:val="22"/>
              </w:rPr>
              <w:t>ā</w:t>
            </w:r>
            <w:r w:rsidR="006A721B" w:rsidRPr="006A721B">
              <w:rPr>
                <w:sz w:val="22"/>
                <w:szCs w:val="22"/>
              </w:rPr>
              <w:t>v</w:t>
            </w:r>
            <w:r w:rsidR="006A721B" w:rsidRPr="006A721B">
              <w:rPr>
                <w:rFonts w:hint="eastAsia"/>
                <w:sz w:val="22"/>
                <w:szCs w:val="22"/>
              </w:rPr>
              <w:t>ā</w:t>
            </w:r>
            <w:r w:rsidR="006A721B" w:rsidRPr="006A721B">
              <w:rPr>
                <w:sz w:val="22"/>
                <w:szCs w:val="22"/>
              </w:rPr>
              <w:t>jumu tā nov</w:t>
            </w:r>
            <w:r w:rsidR="006A721B" w:rsidRPr="006A721B">
              <w:rPr>
                <w:rFonts w:hint="eastAsia"/>
                <w:sz w:val="22"/>
                <w:szCs w:val="22"/>
              </w:rPr>
              <w:t>ē</w:t>
            </w:r>
            <w:r w:rsidR="006A721B" w:rsidRPr="006A721B">
              <w:rPr>
                <w:sz w:val="22"/>
                <w:szCs w:val="22"/>
              </w:rPr>
              <w:t>rt</w:t>
            </w:r>
            <w:r w:rsidR="006A721B" w:rsidRPr="006A721B">
              <w:rPr>
                <w:rFonts w:hint="eastAsia"/>
                <w:sz w:val="22"/>
                <w:szCs w:val="22"/>
              </w:rPr>
              <w:t>ēš</w:t>
            </w:r>
            <w:r w:rsidR="006A721B" w:rsidRPr="006A721B">
              <w:rPr>
                <w:sz w:val="22"/>
                <w:szCs w:val="22"/>
              </w:rPr>
              <w:t>anas laik</w:t>
            </w:r>
            <w:r w:rsidR="006A721B" w:rsidRPr="006A721B">
              <w:rPr>
                <w:rFonts w:hint="eastAsia"/>
                <w:sz w:val="22"/>
                <w:szCs w:val="22"/>
              </w:rPr>
              <w:t>ā</w:t>
            </w:r>
            <w:r w:rsidR="007B5DB1">
              <w:rPr>
                <w:sz w:val="22"/>
                <w:szCs w:val="22"/>
              </w:rPr>
              <w:t>.</w:t>
            </w:r>
          </w:p>
        </w:tc>
        <w:tc>
          <w:tcPr>
            <w:tcW w:w="912" w:type="pct"/>
            <w:tcBorders>
              <w:bottom w:val="single" w:sz="4" w:space="0" w:color="auto"/>
            </w:tcBorders>
            <w:vAlign w:val="center"/>
          </w:tcPr>
          <w:p w14:paraId="77A9EA9C" w14:textId="77777777" w:rsidR="006A721B" w:rsidRPr="00F06301" w:rsidRDefault="006A721B" w:rsidP="006A721B">
            <w:pPr>
              <w:jc w:val="both"/>
              <w:rPr>
                <w:sz w:val="22"/>
                <w:szCs w:val="22"/>
              </w:rPr>
            </w:pPr>
            <w:r w:rsidRPr="00F06301">
              <w:rPr>
                <w:sz w:val="22"/>
                <w:szCs w:val="22"/>
              </w:rPr>
              <w:t>25%</w:t>
            </w:r>
          </w:p>
          <w:p w14:paraId="4C9A5CBB" w14:textId="77777777" w:rsidR="006A721B" w:rsidRPr="00F06301" w:rsidRDefault="006A721B" w:rsidP="006A721B">
            <w:pPr>
              <w:jc w:val="both"/>
              <w:rPr>
                <w:sz w:val="22"/>
                <w:szCs w:val="22"/>
              </w:rPr>
            </w:pPr>
          </w:p>
          <w:p w14:paraId="62BCC643" w14:textId="58E447BA" w:rsidR="006A721B" w:rsidRPr="00F06301" w:rsidRDefault="006A721B" w:rsidP="006A721B">
            <w:pPr>
              <w:jc w:val="both"/>
              <w:rPr>
                <w:sz w:val="22"/>
                <w:szCs w:val="22"/>
              </w:rPr>
            </w:pPr>
            <w:r w:rsidRPr="00F06301">
              <w:rPr>
                <w:sz w:val="22"/>
                <w:szCs w:val="22"/>
              </w:rPr>
              <w:t xml:space="preserve">Var samazināt uz 10% vai 5%, atkarībā no </w:t>
            </w:r>
            <w:r>
              <w:rPr>
                <w:sz w:val="22"/>
                <w:szCs w:val="22"/>
              </w:rPr>
              <w:t xml:space="preserve">pārkāpuma </w:t>
            </w:r>
            <w:r w:rsidRPr="00F06301">
              <w:rPr>
                <w:sz w:val="22"/>
                <w:szCs w:val="22"/>
              </w:rPr>
              <w:t>būtiskuma.</w:t>
            </w:r>
          </w:p>
        </w:tc>
      </w:tr>
      <w:tr w:rsidR="006A721B" w:rsidRPr="009D07C7" w14:paraId="1832876C" w14:textId="77777777" w:rsidTr="00952CF5">
        <w:trPr>
          <w:trHeight w:val="332"/>
        </w:trPr>
        <w:tc>
          <w:tcPr>
            <w:tcW w:w="276" w:type="pct"/>
            <w:tcBorders>
              <w:bottom w:val="single" w:sz="4" w:space="0" w:color="auto"/>
            </w:tcBorders>
          </w:tcPr>
          <w:p w14:paraId="7DA767B9" w14:textId="77777777" w:rsidR="006A721B" w:rsidRPr="009D07C7" w:rsidRDefault="006A721B" w:rsidP="006A721B">
            <w:pPr>
              <w:numPr>
                <w:ilvl w:val="0"/>
                <w:numId w:val="1"/>
              </w:numPr>
              <w:rPr>
                <w:sz w:val="22"/>
                <w:szCs w:val="22"/>
              </w:rPr>
            </w:pPr>
          </w:p>
        </w:tc>
        <w:tc>
          <w:tcPr>
            <w:tcW w:w="1726" w:type="pct"/>
            <w:tcBorders>
              <w:bottom w:val="single" w:sz="4" w:space="0" w:color="auto"/>
            </w:tcBorders>
            <w:vAlign w:val="center"/>
          </w:tcPr>
          <w:p w14:paraId="6BB86E40" w14:textId="415DED01" w:rsidR="006A721B" w:rsidRPr="009E6445" w:rsidRDefault="006A721B" w:rsidP="006A721B">
            <w:pPr>
              <w:autoSpaceDE w:val="0"/>
              <w:autoSpaceDN w:val="0"/>
              <w:adjustRightInd w:val="0"/>
              <w:rPr>
                <w:sz w:val="22"/>
                <w:szCs w:val="22"/>
              </w:rPr>
            </w:pPr>
            <w:r w:rsidRPr="009E6445">
              <w:rPr>
                <w:sz w:val="22"/>
                <w:szCs w:val="22"/>
              </w:rPr>
              <w:t>Pārrunas</w:t>
            </w:r>
            <w:r>
              <w:rPr>
                <w:sz w:val="22"/>
                <w:szCs w:val="22"/>
              </w:rPr>
              <w:t xml:space="preserve"> ar pretendentiem</w:t>
            </w:r>
            <w:r w:rsidRPr="009E6445">
              <w:rPr>
                <w:sz w:val="22"/>
                <w:szCs w:val="22"/>
              </w:rPr>
              <w:t xml:space="preserve"> </w:t>
            </w:r>
            <w:r>
              <w:rPr>
                <w:sz w:val="22"/>
                <w:szCs w:val="22"/>
              </w:rPr>
              <w:t>piedāvājumu vērtēšanas posmā</w:t>
            </w:r>
          </w:p>
          <w:p w14:paraId="1D6A87AF" w14:textId="77777777" w:rsidR="006A721B" w:rsidRPr="009E6445" w:rsidRDefault="006A721B" w:rsidP="006A721B">
            <w:pPr>
              <w:jc w:val="both"/>
              <w:rPr>
                <w:i/>
                <w:sz w:val="22"/>
                <w:szCs w:val="22"/>
              </w:rPr>
            </w:pPr>
          </w:p>
          <w:p w14:paraId="1AE416EC" w14:textId="77777777" w:rsidR="006A721B" w:rsidRPr="009E6445" w:rsidRDefault="006A721B" w:rsidP="006A721B">
            <w:pPr>
              <w:jc w:val="both"/>
              <w:rPr>
                <w:i/>
                <w:sz w:val="22"/>
                <w:szCs w:val="22"/>
              </w:rPr>
            </w:pPr>
            <w:r w:rsidRPr="009E6445">
              <w:rPr>
                <w:i/>
                <w:sz w:val="22"/>
                <w:szCs w:val="22"/>
              </w:rPr>
              <w:t>Direktīvas Nr.2014/24/ES 18(1).pants</w:t>
            </w:r>
          </w:p>
          <w:p w14:paraId="3B50271D" w14:textId="77777777" w:rsidR="006A721B" w:rsidRPr="009E6445" w:rsidRDefault="006A721B" w:rsidP="006A721B">
            <w:pPr>
              <w:jc w:val="both"/>
              <w:rPr>
                <w:i/>
                <w:sz w:val="22"/>
                <w:szCs w:val="22"/>
              </w:rPr>
            </w:pPr>
            <w:r w:rsidRPr="009E6445">
              <w:rPr>
                <w:i/>
                <w:sz w:val="22"/>
                <w:szCs w:val="22"/>
              </w:rPr>
              <w:t>Direktīvas Nr.2014/25/ES 36(1).pants</w:t>
            </w:r>
          </w:p>
          <w:p w14:paraId="0CF9530A" w14:textId="77777777" w:rsidR="006A721B" w:rsidRPr="009E6445" w:rsidRDefault="006A721B" w:rsidP="006A721B">
            <w:pPr>
              <w:autoSpaceDE w:val="0"/>
              <w:autoSpaceDN w:val="0"/>
              <w:adjustRightInd w:val="0"/>
              <w:rPr>
                <w:sz w:val="22"/>
                <w:szCs w:val="22"/>
              </w:rPr>
            </w:pPr>
          </w:p>
          <w:p w14:paraId="1A432396" w14:textId="53F34F65" w:rsidR="006A721B" w:rsidRPr="009E6445" w:rsidRDefault="006A721B" w:rsidP="006A721B">
            <w:pPr>
              <w:autoSpaceDE w:val="0"/>
              <w:autoSpaceDN w:val="0"/>
              <w:adjustRightInd w:val="0"/>
              <w:jc w:val="both"/>
              <w:rPr>
                <w:sz w:val="22"/>
                <w:szCs w:val="22"/>
              </w:rPr>
            </w:pPr>
            <w:r w:rsidRPr="009E6445">
              <w:rPr>
                <w:sz w:val="22"/>
                <w:szCs w:val="22"/>
              </w:rPr>
              <w:t>(EK 19.12.2013. vadlīniju  2.1.sadaļas 18.punkts)</w:t>
            </w:r>
          </w:p>
        </w:tc>
        <w:tc>
          <w:tcPr>
            <w:tcW w:w="2086" w:type="pct"/>
            <w:gridSpan w:val="2"/>
            <w:tcBorders>
              <w:bottom w:val="single" w:sz="4" w:space="0" w:color="auto"/>
            </w:tcBorders>
            <w:vAlign w:val="center"/>
          </w:tcPr>
          <w:p w14:paraId="1CB9033E" w14:textId="6968607B" w:rsidR="006A721B" w:rsidRPr="009E6445" w:rsidRDefault="006A721B" w:rsidP="006A721B">
            <w:pPr>
              <w:jc w:val="both"/>
              <w:rPr>
                <w:sz w:val="22"/>
                <w:szCs w:val="22"/>
              </w:rPr>
            </w:pPr>
            <w:r w:rsidRPr="009E6445">
              <w:rPr>
                <w:sz w:val="22"/>
                <w:szCs w:val="22"/>
              </w:rPr>
              <w:t xml:space="preserve">Atklātā vai slēgtā iepirkuma procedūrā, </w:t>
            </w:r>
            <w:r w:rsidRPr="009E6445">
              <w:rPr>
                <w:sz w:val="22"/>
                <w:szCs w:val="22"/>
              </w:rPr>
              <w:br/>
            </w:r>
            <w:r>
              <w:rPr>
                <w:sz w:val="22"/>
                <w:szCs w:val="22"/>
              </w:rPr>
              <w:t>i</w:t>
            </w:r>
            <w:r w:rsidRPr="00DA7541">
              <w:rPr>
                <w:sz w:val="22"/>
                <w:szCs w:val="22"/>
              </w:rPr>
              <w:t>epirkuma komisija piedāvājumus</w:t>
            </w:r>
            <w:r>
              <w:rPr>
                <w:sz w:val="22"/>
                <w:szCs w:val="22"/>
              </w:rPr>
              <w:t xml:space="preserve"> nav</w:t>
            </w:r>
            <w:r w:rsidRPr="00DA7541">
              <w:rPr>
                <w:sz w:val="22"/>
                <w:szCs w:val="22"/>
              </w:rPr>
              <w:t xml:space="preserve"> izvērtē</w:t>
            </w:r>
            <w:r>
              <w:rPr>
                <w:sz w:val="22"/>
                <w:szCs w:val="22"/>
              </w:rPr>
              <w:t xml:space="preserve">jusi slēgtā sēdē </w:t>
            </w:r>
            <w:r w:rsidR="00FF2E99">
              <w:rPr>
                <w:sz w:val="22"/>
                <w:szCs w:val="22"/>
              </w:rPr>
              <w:t>un</w:t>
            </w:r>
            <w:r w:rsidR="00224A2B">
              <w:rPr>
                <w:sz w:val="22"/>
                <w:szCs w:val="22"/>
              </w:rPr>
              <w:t xml:space="preserve"> ir</w:t>
            </w:r>
            <w:r w:rsidR="00FF2E99">
              <w:rPr>
                <w:sz w:val="22"/>
                <w:szCs w:val="22"/>
              </w:rPr>
              <w:t xml:space="preserve"> veikusi</w:t>
            </w:r>
            <w:r w:rsidR="00FF2E99" w:rsidRPr="009E6445">
              <w:rPr>
                <w:sz w:val="22"/>
                <w:szCs w:val="22"/>
              </w:rPr>
              <w:t xml:space="preserve"> </w:t>
            </w:r>
            <w:r w:rsidRPr="009E6445">
              <w:rPr>
                <w:sz w:val="22"/>
                <w:szCs w:val="22"/>
              </w:rPr>
              <w:t xml:space="preserve">sarunas ar pretendentiem </w:t>
            </w:r>
            <w:r w:rsidRPr="009E6445">
              <w:rPr>
                <w:sz w:val="22"/>
                <w:szCs w:val="22"/>
              </w:rPr>
              <w:br/>
            </w:r>
            <w:r>
              <w:rPr>
                <w:sz w:val="22"/>
                <w:szCs w:val="22"/>
              </w:rPr>
              <w:t xml:space="preserve">piedāvājumu </w:t>
            </w:r>
            <w:r w:rsidRPr="009E6445">
              <w:rPr>
                <w:sz w:val="22"/>
                <w:szCs w:val="22"/>
              </w:rPr>
              <w:t xml:space="preserve">vērtēšanas posmā, rezultātā veicot būtiskas izmaiņas </w:t>
            </w:r>
            <w:r w:rsidRPr="009E6445">
              <w:rPr>
                <w:sz w:val="22"/>
                <w:szCs w:val="22"/>
              </w:rPr>
              <w:br/>
              <w:t>sākotnējos nosacījumos, kas izklāstīti paziņojumā par līgumu vai iepirkuma dokumentācijā.</w:t>
            </w:r>
          </w:p>
        </w:tc>
        <w:tc>
          <w:tcPr>
            <w:tcW w:w="912" w:type="pct"/>
            <w:tcBorders>
              <w:bottom w:val="single" w:sz="4" w:space="0" w:color="auto"/>
            </w:tcBorders>
            <w:vAlign w:val="center"/>
          </w:tcPr>
          <w:p w14:paraId="50E9D5CA" w14:textId="77777777" w:rsidR="006A721B" w:rsidRPr="00F06301" w:rsidRDefault="006A721B" w:rsidP="006A721B">
            <w:pPr>
              <w:jc w:val="both"/>
              <w:rPr>
                <w:sz w:val="22"/>
                <w:szCs w:val="22"/>
              </w:rPr>
            </w:pPr>
            <w:r w:rsidRPr="00F06301">
              <w:rPr>
                <w:sz w:val="22"/>
                <w:szCs w:val="22"/>
              </w:rPr>
              <w:t>25%</w:t>
            </w:r>
          </w:p>
          <w:p w14:paraId="35BB914E" w14:textId="77777777" w:rsidR="006A721B" w:rsidRPr="00F06301" w:rsidRDefault="006A721B" w:rsidP="006A721B">
            <w:pPr>
              <w:jc w:val="both"/>
              <w:rPr>
                <w:sz w:val="22"/>
                <w:szCs w:val="22"/>
              </w:rPr>
            </w:pPr>
          </w:p>
          <w:p w14:paraId="00BE1B86" w14:textId="77C23EE4" w:rsidR="006A721B" w:rsidRDefault="006A721B" w:rsidP="006A721B">
            <w:pPr>
              <w:jc w:val="both"/>
              <w:rPr>
                <w:sz w:val="22"/>
                <w:szCs w:val="22"/>
              </w:rPr>
            </w:pPr>
            <w:r w:rsidRPr="00F06301">
              <w:rPr>
                <w:sz w:val="22"/>
                <w:szCs w:val="22"/>
              </w:rPr>
              <w:t xml:space="preserve">Var samazināt uz 10% vai 5%, atkarībā no </w:t>
            </w:r>
            <w:r>
              <w:rPr>
                <w:sz w:val="22"/>
                <w:szCs w:val="22"/>
              </w:rPr>
              <w:t xml:space="preserve">pārkāpuma </w:t>
            </w:r>
            <w:r w:rsidRPr="00F06301">
              <w:rPr>
                <w:sz w:val="22"/>
                <w:szCs w:val="22"/>
              </w:rPr>
              <w:t>būtiskuma.</w:t>
            </w:r>
          </w:p>
        </w:tc>
      </w:tr>
      <w:tr w:rsidR="00A72AA2" w:rsidRPr="009D07C7" w14:paraId="14289E32" w14:textId="77777777" w:rsidTr="004250EF">
        <w:trPr>
          <w:trHeight w:val="332"/>
        </w:trPr>
        <w:tc>
          <w:tcPr>
            <w:tcW w:w="276" w:type="pct"/>
            <w:tcBorders>
              <w:bottom w:val="single" w:sz="4" w:space="0" w:color="auto"/>
            </w:tcBorders>
          </w:tcPr>
          <w:p w14:paraId="0C2FF666" w14:textId="77777777" w:rsidR="00A72AA2" w:rsidRPr="009D07C7" w:rsidRDefault="00A72AA2" w:rsidP="00A72AA2">
            <w:pPr>
              <w:numPr>
                <w:ilvl w:val="0"/>
                <w:numId w:val="1"/>
              </w:numPr>
              <w:rPr>
                <w:sz w:val="22"/>
                <w:szCs w:val="22"/>
              </w:rPr>
            </w:pPr>
          </w:p>
        </w:tc>
        <w:tc>
          <w:tcPr>
            <w:tcW w:w="1726" w:type="pct"/>
            <w:tcBorders>
              <w:bottom w:val="single" w:sz="4" w:space="0" w:color="auto"/>
            </w:tcBorders>
          </w:tcPr>
          <w:p w14:paraId="4FE4F36C" w14:textId="3CDA1A3E" w:rsidR="00A72AA2" w:rsidRPr="000979DF" w:rsidRDefault="00A72AA2" w:rsidP="00A72AA2">
            <w:pPr>
              <w:jc w:val="both"/>
              <w:rPr>
                <w:sz w:val="22"/>
                <w:szCs w:val="22"/>
              </w:rPr>
            </w:pPr>
            <w:r w:rsidRPr="006747D7">
              <w:rPr>
                <w:color w:val="000000"/>
                <w:sz w:val="22"/>
                <w:szCs w:val="22"/>
              </w:rPr>
              <w:t xml:space="preserve">Konkursa </w:t>
            </w:r>
            <w:r w:rsidRPr="000979DF">
              <w:rPr>
                <w:color w:val="000000"/>
                <w:sz w:val="22"/>
                <w:szCs w:val="22"/>
              </w:rPr>
              <w:t xml:space="preserve">procedūra ar sarunām </w:t>
            </w:r>
            <w:r w:rsidR="006747D7" w:rsidRPr="000979DF">
              <w:rPr>
                <w:color w:val="000000"/>
                <w:sz w:val="22"/>
                <w:szCs w:val="22"/>
              </w:rPr>
              <w:t xml:space="preserve">vai </w:t>
            </w:r>
            <w:r w:rsidR="006747D7" w:rsidRPr="000979DF">
              <w:rPr>
                <w:sz w:val="22"/>
                <w:szCs w:val="22"/>
              </w:rPr>
              <w:t xml:space="preserve">sarunu procedūra </w:t>
            </w:r>
            <w:r w:rsidRPr="000979DF">
              <w:rPr>
                <w:sz w:val="22"/>
                <w:szCs w:val="22"/>
              </w:rPr>
              <w:t>veikta ar būtiskām izmaiņām nosacījumos, kas izklāstīti paziņojumā par līgumu vai iepirkuma dokumentācijā</w:t>
            </w:r>
          </w:p>
          <w:p w14:paraId="1D5B53D2" w14:textId="77777777" w:rsidR="00A72AA2" w:rsidRPr="006747D7" w:rsidRDefault="00A72AA2" w:rsidP="00A72AA2">
            <w:pPr>
              <w:jc w:val="both"/>
              <w:rPr>
                <w:i/>
                <w:sz w:val="22"/>
                <w:szCs w:val="22"/>
              </w:rPr>
            </w:pPr>
          </w:p>
          <w:p w14:paraId="53AB741B" w14:textId="77777777" w:rsidR="00A72AA2" w:rsidRPr="006747D7" w:rsidRDefault="00A72AA2" w:rsidP="00A72AA2">
            <w:pPr>
              <w:jc w:val="both"/>
              <w:rPr>
                <w:i/>
                <w:sz w:val="22"/>
                <w:szCs w:val="22"/>
              </w:rPr>
            </w:pPr>
            <w:r w:rsidRPr="006747D7">
              <w:rPr>
                <w:i/>
                <w:sz w:val="22"/>
                <w:szCs w:val="22"/>
              </w:rPr>
              <w:t>Direktīvas Nr.2014/24/ES 26(4).pants, 29.panta 3., 5., 6. un 7.punkts</w:t>
            </w:r>
          </w:p>
          <w:p w14:paraId="73922152" w14:textId="77777777" w:rsidR="00A72AA2" w:rsidRPr="006747D7" w:rsidRDefault="00A72AA2" w:rsidP="00A72AA2">
            <w:pPr>
              <w:jc w:val="both"/>
              <w:rPr>
                <w:i/>
                <w:sz w:val="22"/>
                <w:szCs w:val="22"/>
              </w:rPr>
            </w:pPr>
          </w:p>
          <w:p w14:paraId="270C4DF2" w14:textId="48154E1C" w:rsidR="00A72AA2" w:rsidRPr="006747D7" w:rsidRDefault="00A72AA2" w:rsidP="00A72AA2">
            <w:pPr>
              <w:jc w:val="both"/>
              <w:rPr>
                <w:sz w:val="22"/>
                <w:szCs w:val="22"/>
              </w:rPr>
            </w:pPr>
            <w:r w:rsidRPr="006747D7">
              <w:rPr>
                <w:sz w:val="22"/>
                <w:szCs w:val="22"/>
              </w:rPr>
              <w:t>(EK 19.12.2013. vadlīniju  2.1.sadaļas 19.punkts)</w:t>
            </w:r>
          </w:p>
        </w:tc>
        <w:tc>
          <w:tcPr>
            <w:tcW w:w="2086" w:type="pct"/>
            <w:gridSpan w:val="2"/>
            <w:tcBorders>
              <w:bottom w:val="single" w:sz="4" w:space="0" w:color="auto"/>
            </w:tcBorders>
          </w:tcPr>
          <w:p w14:paraId="1E16FACF" w14:textId="40A0A9F1" w:rsidR="00A72AA2" w:rsidRPr="000979DF" w:rsidRDefault="00A72AA2" w:rsidP="00723F26">
            <w:pPr>
              <w:jc w:val="both"/>
              <w:rPr>
                <w:sz w:val="22"/>
                <w:szCs w:val="22"/>
              </w:rPr>
            </w:pPr>
            <w:r w:rsidRPr="000979DF">
              <w:rPr>
                <w:color w:val="000000"/>
                <w:sz w:val="22"/>
                <w:szCs w:val="22"/>
              </w:rPr>
              <w:t>Konkursa procedūrā ar sarunām</w:t>
            </w:r>
            <w:r w:rsidR="006747D7" w:rsidRPr="000979DF">
              <w:rPr>
                <w:sz w:val="22"/>
                <w:szCs w:val="22"/>
              </w:rPr>
              <w:t xml:space="preserve"> vai</w:t>
            </w:r>
            <w:r w:rsidRPr="000979DF">
              <w:rPr>
                <w:sz w:val="22"/>
                <w:szCs w:val="22"/>
              </w:rPr>
              <w:t xml:space="preserve"> </w:t>
            </w:r>
            <w:r w:rsidR="006747D7" w:rsidRPr="000979DF">
              <w:rPr>
                <w:sz w:val="22"/>
                <w:szCs w:val="22"/>
              </w:rPr>
              <w:t>sarunu procedūra</w:t>
            </w:r>
            <w:r w:rsidRPr="000979DF">
              <w:rPr>
                <w:sz w:val="22"/>
                <w:szCs w:val="22"/>
              </w:rPr>
              <w:t xml:space="preserve"> </w:t>
            </w:r>
            <w:r w:rsidRPr="000979DF">
              <w:rPr>
                <w:color w:val="000000"/>
                <w:sz w:val="22"/>
                <w:szCs w:val="22"/>
              </w:rPr>
              <w:t xml:space="preserve">sarunu laikā </w:t>
            </w:r>
            <w:r w:rsidRPr="000979DF">
              <w:rPr>
                <w:sz w:val="22"/>
                <w:szCs w:val="22"/>
              </w:rPr>
              <w:t>tiek būtiski mainītas</w:t>
            </w:r>
            <w:r w:rsidRPr="000979DF">
              <w:rPr>
                <w:color w:val="000000"/>
                <w:sz w:val="22"/>
                <w:szCs w:val="22"/>
              </w:rPr>
              <w:t xml:space="preserve"> pasūtītāja noteiktās piedāvājumiem izvirzītās minimālās prasības vai piedāvājumu izvērtēšanas kritēriji</w:t>
            </w:r>
            <w:r w:rsidRPr="000979DF">
              <w:rPr>
                <w:sz w:val="22"/>
                <w:szCs w:val="22"/>
              </w:rPr>
              <w:t>.</w:t>
            </w:r>
          </w:p>
        </w:tc>
        <w:tc>
          <w:tcPr>
            <w:tcW w:w="912" w:type="pct"/>
            <w:tcBorders>
              <w:bottom w:val="single" w:sz="4" w:space="0" w:color="auto"/>
            </w:tcBorders>
          </w:tcPr>
          <w:p w14:paraId="6469426B" w14:textId="77777777" w:rsidR="00A72AA2" w:rsidRPr="00F06301" w:rsidRDefault="00A72AA2" w:rsidP="00A72AA2">
            <w:pPr>
              <w:jc w:val="both"/>
              <w:rPr>
                <w:sz w:val="22"/>
                <w:szCs w:val="22"/>
              </w:rPr>
            </w:pPr>
            <w:r w:rsidRPr="00F06301">
              <w:rPr>
                <w:sz w:val="22"/>
                <w:szCs w:val="22"/>
              </w:rPr>
              <w:t>25%</w:t>
            </w:r>
          </w:p>
          <w:p w14:paraId="3525FA62" w14:textId="77777777" w:rsidR="00A72AA2" w:rsidRPr="00F06301" w:rsidRDefault="00A72AA2" w:rsidP="00A72AA2">
            <w:pPr>
              <w:jc w:val="both"/>
              <w:rPr>
                <w:sz w:val="22"/>
                <w:szCs w:val="22"/>
              </w:rPr>
            </w:pPr>
          </w:p>
          <w:p w14:paraId="72A08C05" w14:textId="0D035094" w:rsidR="00A72AA2" w:rsidRPr="00F06301" w:rsidRDefault="00A72AA2" w:rsidP="00A72AA2">
            <w:pPr>
              <w:jc w:val="both"/>
              <w:rPr>
                <w:sz w:val="22"/>
                <w:szCs w:val="22"/>
              </w:rPr>
            </w:pPr>
            <w:r w:rsidRPr="00F06301">
              <w:rPr>
                <w:sz w:val="22"/>
                <w:szCs w:val="22"/>
              </w:rPr>
              <w:t>Var samazināt uz 10% vai 5%, atkarībā no</w:t>
            </w:r>
            <w:r>
              <w:rPr>
                <w:sz w:val="22"/>
                <w:szCs w:val="22"/>
              </w:rPr>
              <w:t xml:space="preserve"> pārkāpuma būtiskuma.</w:t>
            </w:r>
          </w:p>
        </w:tc>
      </w:tr>
      <w:tr w:rsidR="006A721B" w:rsidRPr="009D07C7" w14:paraId="44168010" w14:textId="77777777" w:rsidTr="00952CF5">
        <w:trPr>
          <w:trHeight w:val="332"/>
        </w:trPr>
        <w:tc>
          <w:tcPr>
            <w:tcW w:w="276" w:type="pct"/>
            <w:tcBorders>
              <w:bottom w:val="single" w:sz="4" w:space="0" w:color="auto"/>
            </w:tcBorders>
          </w:tcPr>
          <w:p w14:paraId="7162B6C7" w14:textId="77777777" w:rsidR="006A721B" w:rsidRPr="009D07C7" w:rsidRDefault="006A721B" w:rsidP="006A721B">
            <w:pPr>
              <w:numPr>
                <w:ilvl w:val="0"/>
                <w:numId w:val="1"/>
              </w:numPr>
              <w:rPr>
                <w:sz w:val="22"/>
                <w:szCs w:val="22"/>
              </w:rPr>
            </w:pPr>
          </w:p>
        </w:tc>
        <w:tc>
          <w:tcPr>
            <w:tcW w:w="1726" w:type="pct"/>
            <w:tcBorders>
              <w:bottom w:val="single" w:sz="4" w:space="0" w:color="auto"/>
            </w:tcBorders>
            <w:vAlign w:val="center"/>
          </w:tcPr>
          <w:p w14:paraId="7A1D8FD3" w14:textId="41E982DC" w:rsidR="006A721B" w:rsidRPr="00AD2E7C" w:rsidRDefault="006A721B" w:rsidP="006A721B">
            <w:pPr>
              <w:jc w:val="both"/>
              <w:rPr>
                <w:sz w:val="22"/>
                <w:szCs w:val="22"/>
              </w:rPr>
            </w:pPr>
            <w:r w:rsidRPr="00AD2E7C">
              <w:rPr>
                <w:sz w:val="22"/>
                <w:szCs w:val="22"/>
              </w:rPr>
              <w:t>Nepamatoti lēta piedāvājuma neatbilstoša noraidīšana</w:t>
            </w:r>
          </w:p>
          <w:p w14:paraId="5B238437" w14:textId="77777777" w:rsidR="006A721B" w:rsidRPr="00AD2E7C" w:rsidRDefault="006A721B" w:rsidP="006A721B">
            <w:pPr>
              <w:jc w:val="both"/>
              <w:rPr>
                <w:sz w:val="22"/>
                <w:szCs w:val="22"/>
              </w:rPr>
            </w:pPr>
          </w:p>
          <w:p w14:paraId="7C9427D7" w14:textId="77777777" w:rsidR="006A721B" w:rsidRPr="00AD2E7C" w:rsidRDefault="006A721B" w:rsidP="006A721B">
            <w:pPr>
              <w:jc w:val="both"/>
              <w:rPr>
                <w:i/>
                <w:sz w:val="22"/>
                <w:szCs w:val="22"/>
              </w:rPr>
            </w:pPr>
            <w:r w:rsidRPr="00AD2E7C">
              <w:rPr>
                <w:i/>
                <w:sz w:val="22"/>
                <w:szCs w:val="22"/>
              </w:rPr>
              <w:t>Direktīvas Nr.2014/24/ES 69.pants (izņemot 2.punkta e) apakšpunktu, 3.punkta otro daļu un 5.punktu)</w:t>
            </w:r>
          </w:p>
          <w:p w14:paraId="5AC95897" w14:textId="77777777" w:rsidR="006A721B" w:rsidRPr="00AD2E7C" w:rsidRDefault="006A721B" w:rsidP="006A721B">
            <w:pPr>
              <w:jc w:val="both"/>
              <w:rPr>
                <w:i/>
                <w:sz w:val="22"/>
                <w:szCs w:val="22"/>
              </w:rPr>
            </w:pPr>
          </w:p>
          <w:p w14:paraId="795891DD" w14:textId="77777777" w:rsidR="006A721B" w:rsidRPr="00AD2E7C" w:rsidRDefault="006A721B" w:rsidP="006A721B">
            <w:pPr>
              <w:jc w:val="both"/>
              <w:rPr>
                <w:i/>
                <w:sz w:val="22"/>
                <w:szCs w:val="22"/>
              </w:rPr>
            </w:pPr>
            <w:r w:rsidRPr="00AD2E7C">
              <w:rPr>
                <w:i/>
                <w:sz w:val="22"/>
                <w:szCs w:val="22"/>
              </w:rPr>
              <w:t>Direktīvas Nr.2014/25/ES 84.pants (izņemot 2.punkta e) apakšpunktu, 3.punkta otro daļu un 5.punktu)</w:t>
            </w:r>
          </w:p>
          <w:p w14:paraId="55E0B289" w14:textId="77777777" w:rsidR="006A721B" w:rsidRPr="00AD2E7C" w:rsidRDefault="006A721B" w:rsidP="006A721B">
            <w:pPr>
              <w:jc w:val="both"/>
              <w:rPr>
                <w:i/>
                <w:sz w:val="22"/>
                <w:szCs w:val="22"/>
              </w:rPr>
            </w:pPr>
          </w:p>
          <w:p w14:paraId="730AF67D" w14:textId="282E174D" w:rsidR="006A721B" w:rsidRPr="00AD2E7C" w:rsidRDefault="006A721B" w:rsidP="006A721B">
            <w:pPr>
              <w:jc w:val="both"/>
              <w:rPr>
                <w:sz w:val="22"/>
                <w:szCs w:val="22"/>
              </w:rPr>
            </w:pPr>
            <w:r w:rsidRPr="00AD2E7C">
              <w:rPr>
                <w:sz w:val="22"/>
                <w:szCs w:val="22"/>
              </w:rPr>
              <w:t>(EK 19.12.2013. vadlīniju  2.1.sadaļas 20.punkts)</w:t>
            </w:r>
          </w:p>
        </w:tc>
        <w:tc>
          <w:tcPr>
            <w:tcW w:w="2086" w:type="pct"/>
            <w:gridSpan w:val="2"/>
            <w:tcBorders>
              <w:bottom w:val="single" w:sz="4" w:space="0" w:color="auto"/>
            </w:tcBorders>
          </w:tcPr>
          <w:p w14:paraId="0B409D2C" w14:textId="77777777" w:rsidR="006A721B" w:rsidRDefault="006A721B" w:rsidP="006A721B">
            <w:pPr>
              <w:jc w:val="both"/>
              <w:rPr>
                <w:sz w:val="22"/>
                <w:szCs w:val="22"/>
              </w:rPr>
            </w:pPr>
          </w:p>
          <w:p w14:paraId="069EFF8B" w14:textId="28B738FC" w:rsidR="006A721B" w:rsidRDefault="006A721B" w:rsidP="00C803BF">
            <w:pPr>
              <w:jc w:val="both"/>
              <w:rPr>
                <w:sz w:val="22"/>
                <w:szCs w:val="22"/>
              </w:rPr>
            </w:pPr>
            <w:r w:rsidRPr="00A71C6A">
              <w:rPr>
                <w:sz w:val="22"/>
                <w:szCs w:val="22"/>
              </w:rPr>
              <w:t>Pied</w:t>
            </w:r>
            <w:r w:rsidRPr="00A71C6A">
              <w:rPr>
                <w:rFonts w:hint="eastAsia"/>
                <w:sz w:val="22"/>
                <w:szCs w:val="22"/>
              </w:rPr>
              <w:t>ā</w:t>
            </w:r>
            <w:r w:rsidRPr="00A71C6A">
              <w:rPr>
                <w:sz w:val="22"/>
                <w:szCs w:val="22"/>
              </w:rPr>
              <w:t>v</w:t>
            </w:r>
            <w:r w:rsidRPr="00A71C6A">
              <w:rPr>
                <w:rFonts w:hint="eastAsia"/>
                <w:sz w:val="22"/>
                <w:szCs w:val="22"/>
              </w:rPr>
              <w:t>ā</w:t>
            </w:r>
            <w:r w:rsidRPr="00A71C6A">
              <w:rPr>
                <w:sz w:val="22"/>
                <w:szCs w:val="22"/>
              </w:rPr>
              <w:t>jum</w:t>
            </w:r>
            <w:r>
              <w:rPr>
                <w:sz w:val="22"/>
                <w:szCs w:val="22"/>
              </w:rPr>
              <w:t>s</w:t>
            </w:r>
            <w:r w:rsidRPr="00A71C6A">
              <w:rPr>
                <w:sz w:val="22"/>
                <w:szCs w:val="22"/>
              </w:rPr>
              <w:t xml:space="preserve"> </w:t>
            </w:r>
            <w:r w:rsidRPr="00A71C6A">
              <w:rPr>
                <w:rFonts w:hint="eastAsia"/>
                <w:sz w:val="22"/>
                <w:szCs w:val="22"/>
              </w:rPr>
              <w:t>šķ</w:t>
            </w:r>
            <w:r w:rsidRPr="00A71C6A">
              <w:rPr>
                <w:sz w:val="22"/>
                <w:szCs w:val="22"/>
              </w:rPr>
              <w:t>iet nesam</w:t>
            </w:r>
            <w:r w:rsidRPr="00A71C6A">
              <w:rPr>
                <w:rFonts w:hint="eastAsia"/>
                <w:sz w:val="22"/>
                <w:szCs w:val="22"/>
              </w:rPr>
              <w:t>ē</w:t>
            </w:r>
            <w:r w:rsidRPr="00A71C6A">
              <w:rPr>
                <w:sz w:val="22"/>
                <w:szCs w:val="22"/>
              </w:rPr>
              <w:t>r</w:t>
            </w:r>
            <w:r w:rsidRPr="00A71C6A">
              <w:rPr>
                <w:rFonts w:hint="eastAsia"/>
                <w:sz w:val="22"/>
                <w:szCs w:val="22"/>
              </w:rPr>
              <w:t>ī</w:t>
            </w:r>
            <w:r w:rsidRPr="00A71C6A">
              <w:rPr>
                <w:sz w:val="22"/>
                <w:szCs w:val="22"/>
              </w:rPr>
              <w:t>gi l</w:t>
            </w:r>
            <w:r w:rsidRPr="00A71C6A">
              <w:rPr>
                <w:rFonts w:hint="eastAsia"/>
                <w:sz w:val="22"/>
                <w:szCs w:val="22"/>
              </w:rPr>
              <w:t>ē</w:t>
            </w:r>
            <w:r w:rsidRPr="00A71C6A">
              <w:rPr>
                <w:sz w:val="22"/>
                <w:szCs w:val="22"/>
              </w:rPr>
              <w:t>t</w:t>
            </w:r>
            <w:r>
              <w:rPr>
                <w:sz w:val="22"/>
                <w:szCs w:val="22"/>
              </w:rPr>
              <w:t xml:space="preserve">s </w:t>
            </w:r>
            <w:r w:rsidRPr="00A71C6A">
              <w:rPr>
                <w:sz w:val="22"/>
                <w:szCs w:val="22"/>
              </w:rPr>
              <w:t>attiec</w:t>
            </w:r>
            <w:r w:rsidRPr="00A71C6A">
              <w:rPr>
                <w:rFonts w:hint="eastAsia"/>
                <w:sz w:val="22"/>
                <w:szCs w:val="22"/>
              </w:rPr>
              <w:t>ī</w:t>
            </w:r>
            <w:r w:rsidRPr="00A71C6A">
              <w:rPr>
                <w:sz w:val="22"/>
                <w:szCs w:val="22"/>
              </w:rPr>
              <w:t>b</w:t>
            </w:r>
            <w:r w:rsidRPr="00A71C6A">
              <w:rPr>
                <w:rFonts w:hint="eastAsia"/>
                <w:sz w:val="22"/>
                <w:szCs w:val="22"/>
              </w:rPr>
              <w:t>ā</w:t>
            </w:r>
            <w:r w:rsidRPr="00A71C6A">
              <w:rPr>
                <w:sz w:val="22"/>
                <w:szCs w:val="22"/>
              </w:rPr>
              <w:t xml:space="preserve"> uz prec</w:t>
            </w:r>
            <w:r w:rsidRPr="00A71C6A">
              <w:rPr>
                <w:rFonts w:hint="eastAsia"/>
                <w:sz w:val="22"/>
                <w:szCs w:val="22"/>
              </w:rPr>
              <w:t>ē</w:t>
            </w:r>
            <w:r w:rsidRPr="00A71C6A">
              <w:rPr>
                <w:sz w:val="22"/>
                <w:szCs w:val="22"/>
              </w:rPr>
              <w:t>m,</w:t>
            </w:r>
            <w:r>
              <w:rPr>
                <w:sz w:val="22"/>
                <w:szCs w:val="22"/>
              </w:rPr>
              <w:t xml:space="preserve"> </w:t>
            </w:r>
            <w:r w:rsidRPr="00A71C6A">
              <w:rPr>
                <w:sz w:val="22"/>
                <w:szCs w:val="22"/>
              </w:rPr>
              <w:t>b</w:t>
            </w:r>
            <w:r w:rsidRPr="00A71C6A">
              <w:rPr>
                <w:rFonts w:hint="eastAsia"/>
                <w:sz w:val="22"/>
                <w:szCs w:val="22"/>
              </w:rPr>
              <w:t>ū</w:t>
            </w:r>
            <w:r w:rsidRPr="00A71C6A">
              <w:rPr>
                <w:sz w:val="22"/>
                <w:szCs w:val="22"/>
              </w:rPr>
              <w:t>vdarbiem vai pakalpojumiem, ta</w:t>
            </w:r>
            <w:r w:rsidRPr="00A71C6A">
              <w:rPr>
                <w:rFonts w:hint="eastAsia"/>
                <w:sz w:val="22"/>
                <w:szCs w:val="22"/>
              </w:rPr>
              <w:t>č</w:t>
            </w:r>
            <w:r w:rsidRPr="00A71C6A">
              <w:rPr>
                <w:sz w:val="22"/>
                <w:szCs w:val="22"/>
              </w:rPr>
              <w:t>u l</w:t>
            </w:r>
            <w:r w:rsidRPr="00A71C6A">
              <w:rPr>
                <w:rFonts w:hint="eastAsia"/>
                <w:sz w:val="22"/>
                <w:szCs w:val="22"/>
              </w:rPr>
              <w:t>ī</w:t>
            </w:r>
            <w:r w:rsidRPr="00A71C6A">
              <w:rPr>
                <w:sz w:val="22"/>
                <w:szCs w:val="22"/>
              </w:rPr>
              <w:t>gumsl</w:t>
            </w:r>
            <w:r w:rsidRPr="00A71C6A">
              <w:rPr>
                <w:rFonts w:hint="eastAsia"/>
                <w:sz w:val="22"/>
                <w:szCs w:val="22"/>
              </w:rPr>
              <w:t>ē</w:t>
            </w:r>
            <w:r w:rsidRPr="00A71C6A">
              <w:rPr>
                <w:sz w:val="22"/>
                <w:szCs w:val="22"/>
              </w:rPr>
              <w:t>dz</w:t>
            </w:r>
            <w:r w:rsidRPr="00A71C6A">
              <w:rPr>
                <w:rFonts w:hint="eastAsia"/>
                <w:sz w:val="22"/>
                <w:szCs w:val="22"/>
              </w:rPr>
              <w:t>ē</w:t>
            </w:r>
            <w:r w:rsidRPr="00A71C6A">
              <w:rPr>
                <w:sz w:val="22"/>
                <w:szCs w:val="22"/>
              </w:rPr>
              <w:t>ja</w:t>
            </w:r>
            <w:r>
              <w:rPr>
                <w:sz w:val="22"/>
                <w:szCs w:val="22"/>
              </w:rPr>
              <w:t xml:space="preserve"> </w:t>
            </w:r>
            <w:r w:rsidRPr="00A71C6A">
              <w:rPr>
                <w:sz w:val="22"/>
                <w:szCs w:val="22"/>
              </w:rPr>
              <w:t>iest</w:t>
            </w:r>
            <w:r w:rsidRPr="00A71C6A">
              <w:rPr>
                <w:rFonts w:hint="eastAsia"/>
                <w:sz w:val="22"/>
                <w:szCs w:val="22"/>
              </w:rPr>
              <w:t>ā</w:t>
            </w:r>
            <w:r w:rsidRPr="00A71C6A">
              <w:rPr>
                <w:sz w:val="22"/>
                <w:szCs w:val="22"/>
              </w:rPr>
              <w:t>de pirms min</w:t>
            </w:r>
            <w:r w:rsidRPr="00A71C6A">
              <w:rPr>
                <w:rFonts w:hint="eastAsia"/>
                <w:sz w:val="22"/>
                <w:szCs w:val="22"/>
              </w:rPr>
              <w:t>ē</w:t>
            </w:r>
            <w:r w:rsidRPr="00A71C6A">
              <w:rPr>
                <w:sz w:val="22"/>
                <w:szCs w:val="22"/>
              </w:rPr>
              <w:t>t</w:t>
            </w:r>
            <w:r>
              <w:rPr>
                <w:sz w:val="22"/>
                <w:szCs w:val="22"/>
              </w:rPr>
              <w:t>ā</w:t>
            </w:r>
            <w:r w:rsidRPr="00A71C6A">
              <w:rPr>
                <w:sz w:val="22"/>
                <w:szCs w:val="22"/>
              </w:rPr>
              <w:t xml:space="preserve"> pied</w:t>
            </w:r>
            <w:r w:rsidRPr="00A71C6A">
              <w:rPr>
                <w:rFonts w:hint="eastAsia"/>
                <w:sz w:val="22"/>
                <w:szCs w:val="22"/>
              </w:rPr>
              <w:t>ā</w:t>
            </w:r>
            <w:r w:rsidRPr="00A71C6A">
              <w:rPr>
                <w:sz w:val="22"/>
                <w:szCs w:val="22"/>
              </w:rPr>
              <w:t>v</w:t>
            </w:r>
            <w:r w:rsidRPr="00A71C6A">
              <w:rPr>
                <w:rFonts w:hint="eastAsia"/>
                <w:sz w:val="22"/>
                <w:szCs w:val="22"/>
              </w:rPr>
              <w:t>ā</w:t>
            </w:r>
            <w:r w:rsidRPr="00A71C6A">
              <w:rPr>
                <w:sz w:val="22"/>
                <w:szCs w:val="22"/>
              </w:rPr>
              <w:t>jum</w:t>
            </w:r>
            <w:r>
              <w:rPr>
                <w:sz w:val="22"/>
                <w:szCs w:val="22"/>
              </w:rPr>
              <w:t>a</w:t>
            </w:r>
            <w:r w:rsidRPr="00A71C6A">
              <w:rPr>
                <w:sz w:val="22"/>
                <w:szCs w:val="22"/>
              </w:rPr>
              <w:t xml:space="preserve"> noraid</w:t>
            </w:r>
            <w:r w:rsidRPr="00A71C6A">
              <w:rPr>
                <w:rFonts w:hint="eastAsia"/>
                <w:sz w:val="22"/>
                <w:szCs w:val="22"/>
              </w:rPr>
              <w:t>īš</w:t>
            </w:r>
            <w:r w:rsidRPr="00A71C6A">
              <w:rPr>
                <w:sz w:val="22"/>
                <w:szCs w:val="22"/>
              </w:rPr>
              <w:t>anas</w:t>
            </w:r>
            <w:r>
              <w:rPr>
                <w:sz w:val="22"/>
                <w:szCs w:val="22"/>
              </w:rPr>
              <w:t xml:space="preserve"> </w:t>
            </w:r>
            <w:r w:rsidRPr="00A71C6A">
              <w:rPr>
                <w:sz w:val="22"/>
                <w:szCs w:val="22"/>
              </w:rPr>
              <w:t>rakstiski neprasa sniegt s</w:t>
            </w:r>
            <w:r w:rsidRPr="00A71C6A">
              <w:rPr>
                <w:rFonts w:hint="eastAsia"/>
                <w:sz w:val="22"/>
                <w:szCs w:val="22"/>
              </w:rPr>
              <w:t>ī</w:t>
            </w:r>
            <w:r w:rsidRPr="00A71C6A">
              <w:rPr>
                <w:sz w:val="22"/>
                <w:szCs w:val="22"/>
              </w:rPr>
              <w:t xml:space="preserve">ku </w:t>
            </w:r>
            <w:r>
              <w:rPr>
                <w:sz w:val="22"/>
                <w:szCs w:val="22"/>
              </w:rPr>
              <w:t xml:space="preserve">skaidrojumu par piedāvāto cenu vai </w:t>
            </w:r>
            <w:r w:rsidR="00C803BF">
              <w:rPr>
                <w:sz w:val="22"/>
                <w:szCs w:val="22"/>
              </w:rPr>
              <w:t>izmaksām</w:t>
            </w:r>
            <w:r>
              <w:rPr>
                <w:sz w:val="22"/>
                <w:szCs w:val="22"/>
              </w:rPr>
              <w:t>.</w:t>
            </w:r>
          </w:p>
        </w:tc>
        <w:tc>
          <w:tcPr>
            <w:tcW w:w="912" w:type="pct"/>
            <w:tcBorders>
              <w:bottom w:val="single" w:sz="4" w:space="0" w:color="auto"/>
            </w:tcBorders>
            <w:vAlign w:val="center"/>
          </w:tcPr>
          <w:p w14:paraId="1CBE1ACA" w14:textId="7C3A3546" w:rsidR="006A721B" w:rsidRPr="00F06301" w:rsidRDefault="006A721B" w:rsidP="006A721B">
            <w:pPr>
              <w:jc w:val="both"/>
              <w:rPr>
                <w:sz w:val="22"/>
                <w:szCs w:val="22"/>
              </w:rPr>
            </w:pPr>
            <w:r>
              <w:rPr>
                <w:sz w:val="22"/>
                <w:szCs w:val="22"/>
              </w:rPr>
              <w:t>25%</w:t>
            </w:r>
          </w:p>
        </w:tc>
      </w:tr>
      <w:tr w:rsidR="006A721B" w:rsidRPr="009D07C7" w14:paraId="588CDD40" w14:textId="77777777" w:rsidTr="00952CF5">
        <w:trPr>
          <w:trHeight w:val="332"/>
        </w:trPr>
        <w:tc>
          <w:tcPr>
            <w:tcW w:w="276" w:type="pct"/>
            <w:tcBorders>
              <w:bottom w:val="single" w:sz="4" w:space="0" w:color="auto"/>
            </w:tcBorders>
          </w:tcPr>
          <w:p w14:paraId="19901CA5" w14:textId="77777777" w:rsidR="006A721B" w:rsidRPr="009D07C7" w:rsidRDefault="006A721B" w:rsidP="006A721B">
            <w:pPr>
              <w:numPr>
                <w:ilvl w:val="0"/>
                <w:numId w:val="1"/>
              </w:numPr>
              <w:rPr>
                <w:sz w:val="22"/>
                <w:szCs w:val="22"/>
              </w:rPr>
            </w:pPr>
          </w:p>
        </w:tc>
        <w:tc>
          <w:tcPr>
            <w:tcW w:w="1726" w:type="pct"/>
            <w:tcBorders>
              <w:bottom w:val="single" w:sz="4" w:space="0" w:color="auto"/>
            </w:tcBorders>
            <w:vAlign w:val="center"/>
          </w:tcPr>
          <w:p w14:paraId="1BA2F815" w14:textId="77777777" w:rsidR="006A721B" w:rsidRDefault="006A721B" w:rsidP="006A721B">
            <w:pPr>
              <w:jc w:val="both"/>
              <w:rPr>
                <w:sz w:val="22"/>
                <w:szCs w:val="22"/>
              </w:rPr>
            </w:pPr>
            <w:r>
              <w:rPr>
                <w:sz w:val="22"/>
                <w:szCs w:val="22"/>
              </w:rPr>
              <w:t>Interešu konflikts</w:t>
            </w:r>
            <w:r>
              <w:rPr>
                <w:rStyle w:val="FootnoteReference"/>
                <w:sz w:val="22"/>
                <w:szCs w:val="22"/>
              </w:rPr>
              <w:footnoteReference w:id="18"/>
            </w:r>
          </w:p>
          <w:p w14:paraId="56140C87" w14:textId="77777777" w:rsidR="006A721B" w:rsidRPr="002214D9" w:rsidRDefault="006A721B" w:rsidP="006A721B">
            <w:pPr>
              <w:jc w:val="both"/>
              <w:rPr>
                <w:i/>
                <w:sz w:val="22"/>
                <w:szCs w:val="22"/>
              </w:rPr>
            </w:pPr>
            <w:r w:rsidRPr="002214D9">
              <w:rPr>
                <w:i/>
                <w:sz w:val="22"/>
                <w:szCs w:val="22"/>
              </w:rPr>
              <w:t>Direktīvas Nr.</w:t>
            </w:r>
            <w:r>
              <w:rPr>
                <w:i/>
                <w:sz w:val="22"/>
                <w:szCs w:val="22"/>
              </w:rPr>
              <w:t>2014/24/ES 18(1).pants</w:t>
            </w:r>
          </w:p>
          <w:p w14:paraId="5A317B25" w14:textId="77777777" w:rsidR="006A721B" w:rsidRDefault="006A721B" w:rsidP="006A721B">
            <w:pPr>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36(1).pants</w:t>
            </w:r>
          </w:p>
          <w:p w14:paraId="374E2E0E" w14:textId="77777777" w:rsidR="006A721B" w:rsidRDefault="006A721B" w:rsidP="006A721B">
            <w:pPr>
              <w:jc w:val="both"/>
              <w:rPr>
                <w:i/>
                <w:sz w:val="22"/>
                <w:szCs w:val="22"/>
              </w:rPr>
            </w:pPr>
          </w:p>
          <w:p w14:paraId="4D49B357" w14:textId="6073D7F2" w:rsidR="006A721B" w:rsidRDefault="006A721B" w:rsidP="006A721B">
            <w:pPr>
              <w:jc w:val="both"/>
              <w:rPr>
                <w:i/>
                <w:sz w:val="22"/>
                <w:szCs w:val="22"/>
              </w:rPr>
            </w:pPr>
            <w:r w:rsidRPr="004251C6">
              <w:rPr>
                <w:sz w:val="22"/>
                <w:szCs w:val="22"/>
              </w:rPr>
              <w:t>Finanšu regulas, ko piemēro Eiropas Savienības vispārējam budžetam (</w:t>
            </w:r>
            <w:r w:rsidRPr="004251C6">
              <w:rPr>
                <w:i/>
                <w:sz w:val="22"/>
                <w:szCs w:val="22"/>
              </w:rPr>
              <w:t>Regulas</w:t>
            </w:r>
            <w:r w:rsidR="00C544BF">
              <w:rPr>
                <w:i/>
                <w:sz w:val="22"/>
                <w:szCs w:val="22"/>
              </w:rPr>
              <w:t xml:space="preserve"> Nr.</w:t>
            </w:r>
            <w:r w:rsidRPr="00D461E5">
              <w:rPr>
                <w:i/>
                <w:sz w:val="22"/>
                <w:szCs w:val="22"/>
              </w:rPr>
              <w:t>2018/1046 par finanšu noteikumiem</w:t>
            </w:r>
            <w:r>
              <w:rPr>
                <w:i/>
                <w:sz w:val="22"/>
                <w:szCs w:val="22"/>
              </w:rPr>
              <w:t xml:space="preserve"> 61.pantā </w:t>
            </w:r>
            <w:r w:rsidRPr="004251C6">
              <w:rPr>
                <w:i/>
                <w:sz w:val="22"/>
                <w:szCs w:val="22"/>
              </w:rPr>
              <w:t>ir sniegta interešu konflikta definīcija attiecībā uz ES</w:t>
            </w:r>
            <w:r>
              <w:rPr>
                <w:i/>
                <w:sz w:val="22"/>
                <w:szCs w:val="22"/>
              </w:rPr>
              <w:t xml:space="preserve"> </w:t>
            </w:r>
            <w:r w:rsidRPr="004251C6">
              <w:rPr>
                <w:i/>
                <w:sz w:val="22"/>
                <w:szCs w:val="22"/>
              </w:rPr>
              <w:t xml:space="preserve">budžeta izdevumiem un tā pārvaldību. </w:t>
            </w:r>
          </w:p>
          <w:p w14:paraId="1F71EBCC" w14:textId="77777777" w:rsidR="006A721B" w:rsidRDefault="006A721B" w:rsidP="006A721B">
            <w:pPr>
              <w:jc w:val="both"/>
              <w:rPr>
                <w:i/>
                <w:sz w:val="22"/>
                <w:szCs w:val="22"/>
              </w:rPr>
            </w:pPr>
            <w:r w:rsidRPr="004251C6">
              <w:rPr>
                <w:i/>
                <w:sz w:val="22"/>
                <w:szCs w:val="22"/>
              </w:rPr>
              <w:t>Tajā noteikts:</w:t>
            </w:r>
          </w:p>
          <w:p w14:paraId="706FA6C1" w14:textId="77777777" w:rsidR="006A721B" w:rsidRPr="008A64C5" w:rsidRDefault="006A721B" w:rsidP="006A721B">
            <w:pPr>
              <w:spacing w:before="120"/>
              <w:jc w:val="both"/>
              <w:rPr>
                <w:i/>
                <w:sz w:val="22"/>
                <w:szCs w:val="22"/>
              </w:rPr>
            </w:pPr>
            <w:r w:rsidRPr="004251C6" w:rsidDel="004251C6">
              <w:rPr>
                <w:i/>
                <w:sz w:val="22"/>
                <w:szCs w:val="22"/>
              </w:rPr>
              <w:t xml:space="preserve"> </w:t>
            </w:r>
            <w:r w:rsidRPr="008A64C5">
              <w:rPr>
                <w:i/>
                <w:sz w:val="22"/>
                <w:szCs w:val="22"/>
              </w:rPr>
              <w:t xml:space="preserve">"1. </w:t>
            </w:r>
            <w:r w:rsidRPr="000F47B9">
              <w:rPr>
                <w:i/>
                <w:sz w:val="22"/>
                <w:szCs w:val="22"/>
              </w:rPr>
              <w:t xml:space="preserve">Finanšu dalībnieki un citas personas, tostarp jebkura līmeņa valsts iestādes, kas iesaistītas budžeta izpildē tiešajā, netiešajā un dalītajā pārvaldībā, tostarp ar to saistītajās sagatavošanas darbībās, revīzijā vai kontrolē, neveic nekādas darbības, kas var radīt konfliktu starp viņu pašu un Savienības interesēm. </w:t>
            </w:r>
            <w:r w:rsidRPr="008A64C5">
              <w:rPr>
                <w:i/>
                <w:sz w:val="22"/>
                <w:szCs w:val="22"/>
              </w:rPr>
              <w:t>(...)</w:t>
            </w:r>
          </w:p>
          <w:p w14:paraId="065D3C6B" w14:textId="680502A9" w:rsidR="006A721B" w:rsidRDefault="006A721B" w:rsidP="006A721B">
            <w:pPr>
              <w:jc w:val="both"/>
              <w:rPr>
                <w:i/>
                <w:sz w:val="22"/>
                <w:szCs w:val="22"/>
              </w:rPr>
            </w:pPr>
            <w:r w:rsidRPr="008A64C5">
              <w:rPr>
                <w:i/>
                <w:sz w:val="22"/>
                <w:szCs w:val="22"/>
              </w:rPr>
              <w:t xml:space="preserve">2. </w:t>
            </w:r>
            <w:r w:rsidRPr="00557375">
              <w:rPr>
                <w:i/>
                <w:sz w:val="22"/>
                <w:szCs w:val="22"/>
              </w:rPr>
              <w:t>Šā panta 1. punkta nozīmē interešu konflikts pastāv, ja, kā minēts 1. punktā, finanšu dalībnieka</w:t>
            </w:r>
            <w:r w:rsidR="00C544BF">
              <w:rPr>
                <w:i/>
                <w:sz w:val="22"/>
                <w:szCs w:val="22"/>
              </w:rPr>
              <w:t>m</w:t>
            </w:r>
            <w:r w:rsidRPr="00557375">
              <w:rPr>
                <w:i/>
                <w:sz w:val="22"/>
                <w:szCs w:val="22"/>
              </w:rPr>
              <w:t xml:space="preserve"> vai cita</w:t>
            </w:r>
            <w:r w:rsidR="00C544BF">
              <w:rPr>
                <w:i/>
                <w:sz w:val="22"/>
                <w:szCs w:val="22"/>
              </w:rPr>
              <w:t>i</w:t>
            </w:r>
            <w:r w:rsidRPr="00557375">
              <w:rPr>
                <w:i/>
                <w:sz w:val="22"/>
                <w:szCs w:val="22"/>
              </w:rPr>
              <w:t xml:space="preserve"> persona</w:t>
            </w:r>
            <w:r w:rsidR="00C544BF">
              <w:rPr>
                <w:i/>
                <w:sz w:val="22"/>
                <w:szCs w:val="22"/>
              </w:rPr>
              <w:t>i savas</w:t>
            </w:r>
            <w:r w:rsidRPr="00557375">
              <w:rPr>
                <w:i/>
                <w:sz w:val="22"/>
                <w:szCs w:val="22"/>
              </w:rPr>
              <w:t xml:space="preserve"> funkcijas pildīt </w:t>
            </w:r>
            <w:r w:rsidR="00C544BF" w:rsidRPr="00557375">
              <w:rPr>
                <w:i/>
                <w:sz w:val="22"/>
                <w:szCs w:val="22"/>
              </w:rPr>
              <w:t>neatkarīgi un objektīvi traucē</w:t>
            </w:r>
            <w:r w:rsidR="00C544BF">
              <w:rPr>
                <w:i/>
                <w:sz w:val="22"/>
                <w:szCs w:val="22"/>
              </w:rPr>
              <w:t xml:space="preserve"> tādi</w:t>
            </w:r>
            <w:r w:rsidR="00C544BF" w:rsidRPr="00557375">
              <w:rPr>
                <w:i/>
                <w:sz w:val="22"/>
                <w:szCs w:val="22"/>
              </w:rPr>
              <w:t xml:space="preserve"> </w:t>
            </w:r>
            <w:r w:rsidRPr="00557375">
              <w:rPr>
                <w:i/>
                <w:sz w:val="22"/>
                <w:szCs w:val="22"/>
              </w:rPr>
              <w:t>iemesli, kas saistīti ar ģimeni, emocionālajām saitēm, politisko vai nacionālo piederību, ekonomiskajām interesēm vai jebkādām citām tiešām vai netiešām personīgajām interesēm</w:t>
            </w:r>
            <w:r w:rsidRPr="008A64C5">
              <w:rPr>
                <w:i/>
                <w:sz w:val="22"/>
                <w:szCs w:val="22"/>
              </w:rPr>
              <w:t>".</w:t>
            </w:r>
          </w:p>
          <w:p w14:paraId="41E3838D" w14:textId="77777777" w:rsidR="006A721B" w:rsidRPr="008A64C5" w:rsidRDefault="006A721B" w:rsidP="006A721B">
            <w:pPr>
              <w:jc w:val="both"/>
              <w:rPr>
                <w:i/>
                <w:sz w:val="22"/>
                <w:szCs w:val="22"/>
              </w:rPr>
            </w:pPr>
          </w:p>
          <w:p w14:paraId="48A7A33C" w14:textId="503A9848" w:rsidR="006A721B" w:rsidRPr="002F7467" w:rsidRDefault="006A721B" w:rsidP="006A721B">
            <w:pPr>
              <w:jc w:val="both"/>
              <w:rPr>
                <w:sz w:val="22"/>
                <w:szCs w:val="22"/>
              </w:rPr>
            </w:pPr>
            <w:r w:rsidRPr="00A2172D">
              <w:rPr>
                <w:sz w:val="22"/>
                <w:szCs w:val="22"/>
              </w:rPr>
              <w:t xml:space="preserve">(EK 19.12.2013. vadlīniju  2.1.sadaļas </w:t>
            </w:r>
            <w:r>
              <w:rPr>
                <w:sz w:val="22"/>
                <w:szCs w:val="22"/>
              </w:rPr>
              <w:t>21</w:t>
            </w:r>
            <w:r w:rsidRPr="00A2172D">
              <w:rPr>
                <w:sz w:val="22"/>
                <w:szCs w:val="22"/>
              </w:rPr>
              <w:t>.punkts)</w:t>
            </w:r>
          </w:p>
        </w:tc>
        <w:tc>
          <w:tcPr>
            <w:tcW w:w="2086" w:type="pct"/>
            <w:gridSpan w:val="2"/>
            <w:tcBorders>
              <w:bottom w:val="single" w:sz="4" w:space="0" w:color="auto"/>
            </w:tcBorders>
          </w:tcPr>
          <w:p w14:paraId="5E5C96BE" w14:textId="34507BD8" w:rsidR="006A721B" w:rsidRDefault="006A721B" w:rsidP="006A721B">
            <w:pPr>
              <w:jc w:val="both"/>
              <w:rPr>
                <w:sz w:val="22"/>
                <w:szCs w:val="22"/>
              </w:rPr>
            </w:pPr>
            <w:r w:rsidRPr="008A64C5">
              <w:rPr>
                <w:sz w:val="22"/>
                <w:szCs w:val="22"/>
              </w:rPr>
              <w:t>Interešu konflikts rodas gadījumā, kad personai var būt iespēja dot</w:t>
            </w:r>
            <w:r>
              <w:rPr>
                <w:sz w:val="22"/>
                <w:szCs w:val="22"/>
              </w:rPr>
              <w:t xml:space="preserve"> </w:t>
            </w:r>
            <w:r w:rsidRPr="008A64C5">
              <w:rPr>
                <w:sz w:val="22"/>
                <w:szCs w:val="22"/>
              </w:rPr>
              <w:t>priekšroku privātām interesēm, nevis tās profesionālajiem pienākumiem.</w:t>
            </w:r>
            <w:r>
              <w:rPr>
                <w:sz w:val="22"/>
                <w:szCs w:val="22"/>
              </w:rPr>
              <w:t xml:space="preserve"> </w:t>
            </w:r>
            <w:r w:rsidRPr="008A64C5">
              <w:rPr>
                <w:sz w:val="22"/>
                <w:szCs w:val="22"/>
              </w:rPr>
              <w:t>Interešu konfliktam publiskā iepirkuma procedūrā ir</w:t>
            </w:r>
            <w:r>
              <w:rPr>
                <w:sz w:val="22"/>
                <w:szCs w:val="22"/>
              </w:rPr>
              <w:t xml:space="preserve"> </w:t>
            </w:r>
            <w:r w:rsidRPr="008A64C5">
              <w:rPr>
                <w:sz w:val="22"/>
                <w:szCs w:val="22"/>
              </w:rPr>
              <w:t>ietekme uz procedūru pareizu norisi. Tas noved pie tā, ka tiek pārkāpti pārredzamības,</w:t>
            </w:r>
            <w:r>
              <w:rPr>
                <w:sz w:val="22"/>
                <w:szCs w:val="22"/>
              </w:rPr>
              <w:t xml:space="preserve"> </w:t>
            </w:r>
            <w:r w:rsidRPr="008A64C5">
              <w:rPr>
                <w:sz w:val="22"/>
                <w:szCs w:val="22"/>
              </w:rPr>
              <w:t>proporcionalitātes, vienlīdzīgas attieksmes un / vai nediskriminācijas principi, kas</w:t>
            </w:r>
            <w:r>
              <w:rPr>
                <w:sz w:val="22"/>
                <w:szCs w:val="22"/>
              </w:rPr>
              <w:t xml:space="preserve"> </w:t>
            </w:r>
            <w:r w:rsidRPr="008A64C5">
              <w:rPr>
                <w:sz w:val="22"/>
                <w:szCs w:val="22"/>
              </w:rPr>
              <w:t>jāievēro publisko</w:t>
            </w:r>
            <w:r>
              <w:rPr>
                <w:sz w:val="22"/>
                <w:szCs w:val="22"/>
              </w:rPr>
              <w:t xml:space="preserve"> iepirkumu </w:t>
            </w:r>
            <w:r w:rsidRPr="00C544BF">
              <w:rPr>
                <w:sz w:val="22"/>
                <w:szCs w:val="22"/>
              </w:rPr>
              <w:t>īstenošanā</w:t>
            </w:r>
            <w:r w:rsidRPr="00C544BF">
              <w:rPr>
                <w:rStyle w:val="FootnoteReference"/>
                <w:sz w:val="22"/>
                <w:szCs w:val="22"/>
              </w:rPr>
              <w:footnoteReference w:id="19"/>
            </w:r>
            <w:r w:rsidRPr="00C544BF">
              <w:rPr>
                <w:sz w:val="22"/>
                <w:szCs w:val="22"/>
              </w:rPr>
              <w:t>.</w:t>
            </w:r>
          </w:p>
          <w:p w14:paraId="210FD164" w14:textId="77777777" w:rsidR="006A721B" w:rsidRDefault="006A721B" w:rsidP="006A721B">
            <w:pPr>
              <w:jc w:val="both"/>
              <w:rPr>
                <w:sz w:val="22"/>
                <w:szCs w:val="22"/>
              </w:rPr>
            </w:pPr>
          </w:p>
          <w:p w14:paraId="76E09F0C" w14:textId="6E3074FB" w:rsidR="006A721B" w:rsidRDefault="006A721B" w:rsidP="006A721B">
            <w:pPr>
              <w:jc w:val="both"/>
              <w:rPr>
                <w:sz w:val="22"/>
                <w:szCs w:val="22"/>
              </w:rPr>
            </w:pPr>
            <w:r>
              <w:rPr>
                <w:sz w:val="22"/>
                <w:szCs w:val="22"/>
              </w:rPr>
              <w:t>I</w:t>
            </w:r>
            <w:r w:rsidRPr="00F05574">
              <w:rPr>
                <w:sz w:val="22"/>
                <w:szCs w:val="22"/>
              </w:rPr>
              <w:t>nterešu konflikt</w:t>
            </w:r>
            <w:r>
              <w:rPr>
                <w:sz w:val="22"/>
                <w:szCs w:val="22"/>
              </w:rPr>
              <w:t>a esamību</w:t>
            </w:r>
            <w:r w:rsidRPr="00F05574">
              <w:rPr>
                <w:sz w:val="22"/>
                <w:szCs w:val="22"/>
              </w:rPr>
              <w:t xml:space="preserve"> </w:t>
            </w:r>
            <w:r>
              <w:rPr>
                <w:sz w:val="22"/>
                <w:szCs w:val="22"/>
              </w:rPr>
              <w:t>konstatē</w:t>
            </w:r>
            <w:r w:rsidR="00C544BF">
              <w:rPr>
                <w:sz w:val="22"/>
                <w:szCs w:val="22"/>
              </w:rPr>
              <w:t xml:space="preserve"> </w:t>
            </w:r>
            <w:r w:rsidRPr="00F05574">
              <w:rPr>
                <w:sz w:val="22"/>
                <w:szCs w:val="22"/>
              </w:rPr>
              <w:t>kompetenta tiesu vai administratīv</w:t>
            </w:r>
            <w:r>
              <w:rPr>
                <w:sz w:val="22"/>
                <w:szCs w:val="22"/>
              </w:rPr>
              <w:t>ā</w:t>
            </w:r>
            <w:r w:rsidRPr="00F05574">
              <w:rPr>
                <w:sz w:val="22"/>
                <w:szCs w:val="22"/>
              </w:rPr>
              <w:t xml:space="preserve"> iestāde</w:t>
            </w:r>
            <w:r>
              <w:rPr>
                <w:sz w:val="22"/>
                <w:szCs w:val="22"/>
              </w:rPr>
              <w:t>.</w:t>
            </w:r>
          </w:p>
          <w:p w14:paraId="224298A1" w14:textId="77777777" w:rsidR="006A721B" w:rsidRDefault="006A721B" w:rsidP="006A721B">
            <w:pPr>
              <w:jc w:val="both"/>
              <w:rPr>
                <w:sz w:val="22"/>
                <w:szCs w:val="22"/>
              </w:rPr>
            </w:pPr>
          </w:p>
          <w:p w14:paraId="6FE62955" w14:textId="77777777" w:rsidR="006A721B" w:rsidRDefault="006A721B" w:rsidP="006A721B">
            <w:pPr>
              <w:autoSpaceDE w:val="0"/>
              <w:autoSpaceDN w:val="0"/>
              <w:adjustRightInd w:val="0"/>
              <w:rPr>
                <w:rFonts w:ascii="Verdana,BoldItalic" w:hAnsi="Verdana,BoldItalic" w:cs="Verdana,BoldItalic"/>
                <w:b/>
                <w:bCs/>
                <w:i/>
                <w:iCs/>
                <w:sz w:val="20"/>
                <w:szCs w:val="20"/>
              </w:rPr>
            </w:pPr>
            <w:r>
              <w:rPr>
                <w:rFonts w:ascii="Verdana,BoldItalic" w:hAnsi="Verdana,BoldItalic" w:cs="Verdana,BoldItalic"/>
                <w:b/>
                <w:bCs/>
                <w:i/>
                <w:iCs/>
                <w:sz w:val="20"/>
                <w:szCs w:val="20"/>
              </w:rPr>
              <w:t>Piemēri</w:t>
            </w:r>
            <w:r>
              <w:rPr>
                <w:rStyle w:val="FootnoteReference"/>
                <w:rFonts w:ascii="Verdana,BoldItalic" w:hAnsi="Verdana,BoldItalic" w:cs="Verdana,BoldItalic"/>
                <w:b/>
                <w:bCs/>
                <w:i/>
                <w:iCs/>
                <w:sz w:val="20"/>
                <w:szCs w:val="20"/>
              </w:rPr>
              <w:footnoteReference w:id="20"/>
            </w:r>
          </w:p>
          <w:p w14:paraId="6BCCA1B4" w14:textId="77777777" w:rsidR="006A721B" w:rsidRDefault="006A721B" w:rsidP="006A721B">
            <w:pPr>
              <w:pStyle w:val="ListParagraph"/>
              <w:numPr>
                <w:ilvl w:val="0"/>
                <w:numId w:val="17"/>
              </w:numPr>
              <w:jc w:val="both"/>
              <w:rPr>
                <w:i/>
                <w:sz w:val="22"/>
              </w:rPr>
            </w:pPr>
            <w:r w:rsidRPr="001001C2">
              <w:rPr>
                <w:i/>
                <w:sz w:val="22"/>
              </w:rPr>
              <w:t>Pasūtītāja iepirkuma komisijas locekļa laulātais strādā vienā no uzņēmumiem, kas piedalās konkursā</w:t>
            </w:r>
            <w:r>
              <w:rPr>
                <w:i/>
                <w:sz w:val="22"/>
              </w:rPr>
              <w:t>;</w:t>
            </w:r>
          </w:p>
          <w:p w14:paraId="24647219" w14:textId="77777777" w:rsidR="006A721B" w:rsidRDefault="006A721B" w:rsidP="006A721B">
            <w:pPr>
              <w:pStyle w:val="ListParagraph"/>
              <w:numPr>
                <w:ilvl w:val="0"/>
                <w:numId w:val="17"/>
              </w:numPr>
              <w:jc w:val="both"/>
              <w:rPr>
                <w:i/>
                <w:sz w:val="22"/>
              </w:rPr>
            </w:pPr>
            <w:r w:rsidRPr="00A71C6A">
              <w:rPr>
                <w:i/>
                <w:sz w:val="22"/>
              </w:rPr>
              <w:t>Personai pieder akcijas vai kapit</w:t>
            </w:r>
            <w:r w:rsidRPr="00A71C6A">
              <w:rPr>
                <w:rFonts w:hint="eastAsia"/>
                <w:i/>
                <w:sz w:val="22"/>
              </w:rPr>
              <w:t>ā</w:t>
            </w:r>
            <w:r w:rsidRPr="00A71C6A">
              <w:rPr>
                <w:i/>
                <w:sz w:val="22"/>
              </w:rPr>
              <w:t>lda</w:t>
            </w:r>
            <w:r w:rsidRPr="00A71C6A">
              <w:rPr>
                <w:rFonts w:hint="eastAsia"/>
                <w:i/>
                <w:sz w:val="22"/>
              </w:rPr>
              <w:t>ļ</w:t>
            </w:r>
            <w:r w:rsidRPr="00A71C6A">
              <w:rPr>
                <w:i/>
                <w:sz w:val="22"/>
              </w:rPr>
              <w:t>as uz</w:t>
            </w:r>
            <w:r w:rsidRPr="00A71C6A">
              <w:rPr>
                <w:rFonts w:hint="eastAsia"/>
                <w:i/>
                <w:sz w:val="22"/>
              </w:rPr>
              <w:t>ņē</w:t>
            </w:r>
            <w:r w:rsidRPr="00A71C6A">
              <w:rPr>
                <w:i/>
                <w:sz w:val="22"/>
              </w:rPr>
              <w:t>mum</w:t>
            </w:r>
            <w:r w:rsidRPr="00A71C6A">
              <w:rPr>
                <w:rFonts w:hint="eastAsia"/>
                <w:i/>
                <w:sz w:val="22"/>
              </w:rPr>
              <w:t>ā</w:t>
            </w:r>
            <w:r w:rsidRPr="00A71C6A">
              <w:rPr>
                <w:i/>
                <w:sz w:val="22"/>
              </w:rPr>
              <w:t xml:space="preserve">. </w:t>
            </w:r>
            <w:r w:rsidRPr="00A71C6A">
              <w:rPr>
                <w:rFonts w:hint="eastAsia"/>
                <w:i/>
                <w:sz w:val="22"/>
              </w:rPr>
              <w:t>Š</w:t>
            </w:r>
            <w:r w:rsidRPr="00A71C6A">
              <w:rPr>
                <w:i/>
                <w:sz w:val="22"/>
              </w:rPr>
              <w:t>is uz</w:t>
            </w:r>
            <w:r w:rsidRPr="00A71C6A">
              <w:rPr>
                <w:rFonts w:hint="eastAsia"/>
                <w:i/>
                <w:sz w:val="22"/>
              </w:rPr>
              <w:t>ņē</w:t>
            </w:r>
            <w:r w:rsidRPr="00A71C6A">
              <w:rPr>
                <w:i/>
                <w:sz w:val="22"/>
              </w:rPr>
              <w:t>mums piedal</w:t>
            </w:r>
            <w:r w:rsidRPr="00A71C6A">
              <w:rPr>
                <w:rFonts w:hint="eastAsia"/>
                <w:i/>
                <w:sz w:val="22"/>
              </w:rPr>
              <w:t>ā</w:t>
            </w:r>
            <w:r w:rsidRPr="00A71C6A">
              <w:rPr>
                <w:i/>
                <w:sz w:val="22"/>
              </w:rPr>
              <w:t>s konkursa proced</w:t>
            </w:r>
            <w:r w:rsidRPr="00A71C6A">
              <w:rPr>
                <w:rFonts w:hint="eastAsia"/>
                <w:i/>
                <w:sz w:val="22"/>
              </w:rPr>
              <w:t>ū</w:t>
            </w:r>
            <w:r w:rsidRPr="00A71C6A">
              <w:rPr>
                <w:i/>
                <w:sz w:val="22"/>
              </w:rPr>
              <w:t>r</w:t>
            </w:r>
            <w:r w:rsidRPr="00A71C6A">
              <w:rPr>
                <w:rFonts w:hint="eastAsia"/>
                <w:i/>
                <w:sz w:val="22"/>
              </w:rPr>
              <w:t>ā</w:t>
            </w:r>
            <w:r w:rsidRPr="00A71C6A">
              <w:rPr>
                <w:i/>
                <w:sz w:val="22"/>
              </w:rPr>
              <w:t>, kur</w:t>
            </w:r>
            <w:r w:rsidRPr="00A71C6A">
              <w:rPr>
                <w:rFonts w:hint="eastAsia"/>
                <w:i/>
                <w:sz w:val="22"/>
              </w:rPr>
              <w:t>ā</w:t>
            </w:r>
            <w:r w:rsidRPr="00A71C6A">
              <w:rPr>
                <w:i/>
                <w:sz w:val="22"/>
              </w:rPr>
              <w:t xml:space="preserve"> </w:t>
            </w:r>
            <w:r w:rsidRPr="00A71C6A">
              <w:rPr>
                <w:rFonts w:hint="eastAsia"/>
                <w:i/>
                <w:sz w:val="22"/>
              </w:rPr>
              <w:t>šī</w:t>
            </w:r>
            <w:r w:rsidRPr="00A71C6A">
              <w:rPr>
                <w:i/>
                <w:sz w:val="22"/>
              </w:rPr>
              <w:t xml:space="preserve"> persona ir iecelta par </w:t>
            </w:r>
            <w:r>
              <w:rPr>
                <w:i/>
                <w:sz w:val="22"/>
              </w:rPr>
              <w:t xml:space="preserve">iepirkuma komisijas </w:t>
            </w:r>
            <w:r w:rsidRPr="00A71C6A">
              <w:rPr>
                <w:i/>
                <w:sz w:val="22"/>
              </w:rPr>
              <w:t xml:space="preserve"> locekli</w:t>
            </w:r>
            <w:r>
              <w:rPr>
                <w:i/>
                <w:sz w:val="22"/>
              </w:rPr>
              <w:t>.</w:t>
            </w:r>
          </w:p>
          <w:p w14:paraId="622DFE99" w14:textId="77777777" w:rsidR="006A721B" w:rsidRDefault="006A721B" w:rsidP="006A721B">
            <w:pPr>
              <w:jc w:val="both"/>
              <w:rPr>
                <w:sz w:val="22"/>
                <w:szCs w:val="22"/>
              </w:rPr>
            </w:pPr>
          </w:p>
        </w:tc>
        <w:tc>
          <w:tcPr>
            <w:tcW w:w="912" w:type="pct"/>
            <w:tcBorders>
              <w:bottom w:val="single" w:sz="4" w:space="0" w:color="auto"/>
            </w:tcBorders>
            <w:vAlign w:val="center"/>
          </w:tcPr>
          <w:p w14:paraId="198D3091" w14:textId="1075EA4C" w:rsidR="006A721B" w:rsidRDefault="006A721B" w:rsidP="006A721B">
            <w:pPr>
              <w:jc w:val="both"/>
              <w:rPr>
                <w:sz w:val="22"/>
                <w:szCs w:val="22"/>
              </w:rPr>
            </w:pPr>
            <w:r>
              <w:rPr>
                <w:sz w:val="22"/>
                <w:szCs w:val="22"/>
              </w:rPr>
              <w:t>100%</w:t>
            </w:r>
          </w:p>
        </w:tc>
      </w:tr>
      <w:tr w:rsidR="006A721B" w:rsidRPr="009D07C7" w14:paraId="4BD2800E" w14:textId="77777777" w:rsidTr="002A6D87">
        <w:trPr>
          <w:trHeight w:val="332"/>
        </w:trPr>
        <w:tc>
          <w:tcPr>
            <w:tcW w:w="5000" w:type="pct"/>
            <w:gridSpan w:val="5"/>
            <w:tcBorders>
              <w:bottom w:val="single" w:sz="4" w:space="0" w:color="auto"/>
            </w:tcBorders>
            <w:shd w:val="clear" w:color="auto" w:fill="BFBFBF" w:themeFill="background1" w:themeFillShade="BF"/>
          </w:tcPr>
          <w:p w14:paraId="45A4515F" w14:textId="70A5B1E4" w:rsidR="006A721B" w:rsidRDefault="006A721B" w:rsidP="006A721B">
            <w:pPr>
              <w:jc w:val="center"/>
              <w:rPr>
                <w:sz w:val="22"/>
                <w:szCs w:val="22"/>
              </w:rPr>
            </w:pPr>
            <w:r w:rsidRPr="00D34969">
              <w:rPr>
                <w:b/>
                <w:sz w:val="22"/>
                <w:szCs w:val="22"/>
              </w:rPr>
              <w:t>Līguma ieviešana/ izpilde</w:t>
            </w:r>
          </w:p>
        </w:tc>
      </w:tr>
      <w:tr w:rsidR="006A721B" w:rsidRPr="009D07C7" w14:paraId="206FA8E1" w14:textId="77777777" w:rsidTr="00952CF5">
        <w:trPr>
          <w:trHeight w:val="332"/>
        </w:trPr>
        <w:tc>
          <w:tcPr>
            <w:tcW w:w="276" w:type="pct"/>
            <w:tcBorders>
              <w:bottom w:val="single" w:sz="4" w:space="0" w:color="auto"/>
            </w:tcBorders>
          </w:tcPr>
          <w:p w14:paraId="773E32CC" w14:textId="77777777" w:rsidR="006A721B" w:rsidRPr="009D07C7" w:rsidRDefault="006A721B" w:rsidP="006A721B">
            <w:pPr>
              <w:numPr>
                <w:ilvl w:val="0"/>
                <w:numId w:val="1"/>
              </w:numPr>
              <w:rPr>
                <w:sz w:val="22"/>
                <w:szCs w:val="22"/>
              </w:rPr>
            </w:pPr>
          </w:p>
        </w:tc>
        <w:tc>
          <w:tcPr>
            <w:tcW w:w="1726" w:type="pct"/>
            <w:tcBorders>
              <w:bottom w:val="single" w:sz="4" w:space="0" w:color="auto"/>
            </w:tcBorders>
            <w:vAlign w:val="center"/>
          </w:tcPr>
          <w:p w14:paraId="71C2D9B3" w14:textId="7E17AC4A" w:rsidR="006A721B" w:rsidRDefault="00E0196D" w:rsidP="006A721B">
            <w:pPr>
              <w:jc w:val="both"/>
              <w:rPr>
                <w:sz w:val="22"/>
                <w:szCs w:val="22"/>
              </w:rPr>
            </w:pPr>
            <w:r w:rsidRPr="00E0196D">
              <w:rPr>
                <w:sz w:val="22"/>
                <w:szCs w:val="22"/>
              </w:rPr>
              <w:t>Nepamatoti</w:t>
            </w:r>
            <w:r>
              <w:rPr>
                <w:b/>
                <w:sz w:val="22"/>
                <w:szCs w:val="22"/>
              </w:rPr>
              <w:t xml:space="preserve"> </w:t>
            </w:r>
            <w:r w:rsidRPr="00E0196D">
              <w:rPr>
                <w:sz w:val="22"/>
                <w:szCs w:val="22"/>
              </w:rPr>
              <w:t xml:space="preserve">veikti </w:t>
            </w:r>
            <w:r>
              <w:rPr>
                <w:sz w:val="22"/>
                <w:szCs w:val="22"/>
              </w:rPr>
              <w:t>b</w:t>
            </w:r>
            <w:r w:rsidR="006A721B" w:rsidRPr="00E0196D">
              <w:rPr>
                <w:sz w:val="22"/>
                <w:szCs w:val="22"/>
              </w:rPr>
              <w:t>ūtiski</w:t>
            </w:r>
            <w:r w:rsidR="006A721B">
              <w:rPr>
                <w:sz w:val="22"/>
                <w:szCs w:val="22"/>
              </w:rPr>
              <w:t xml:space="preserve"> grozījumi līguma nosacījumos, kas noteikti paziņojumā par līgumu vai </w:t>
            </w:r>
            <w:r>
              <w:rPr>
                <w:sz w:val="22"/>
                <w:szCs w:val="22"/>
              </w:rPr>
              <w:t>iepirkuma dokumentācijā</w:t>
            </w:r>
          </w:p>
          <w:p w14:paraId="5B26A8C1" w14:textId="77777777" w:rsidR="006A721B" w:rsidRDefault="006A721B" w:rsidP="006A721B">
            <w:pPr>
              <w:jc w:val="both"/>
              <w:rPr>
                <w:sz w:val="22"/>
                <w:szCs w:val="22"/>
              </w:rPr>
            </w:pPr>
          </w:p>
          <w:p w14:paraId="7524D059" w14:textId="3F22097B" w:rsidR="006A721B" w:rsidRPr="00596442" w:rsidRDefault="006A721B" w:rsidP="006A721B">
            <w:pPr>
              <w:jc w:val="both"/>
              <w:rPr>
                <w:i/>
                <w:sz w:val="22"/>
                <w:szCs w:val="22"/>
              </w:rPr>
            </w:pPr>
            <w:r w:rsidRPr="00596442">
              <w:rPr>
                <w:i/>
                <w:sz w:val="22"/>
                <w:szCs w:val="22"/>
              </w:rPr>
              <w:t>Direktīvas Nr.</w:t>
            </w:r>
            <w:r>
              <w:rPr>
                <w:i/>
                <w:sz w:val="22"/>
                <w:szCs w:val="22"/>
              </w:rPr>
              <w:t>2014/24/ES 18(1).pants</w:t>
            </w:r>
            <w:r w:rsidR="00E0196D">
              <w:rPr>
                <w:i/>
                <w:sz w:val="22"/>
                <w:szCs w:val="22"/>
              </w:rPr>
              <w:t>, 72.pants</w:t>
            </w:r>
          </w:p>
          <w:p w14:paraId="2059D72D" w14:textId="28D406C1" w:rsidR="006A721B" w:rsidRDefault="006A721B" w:rsidP="006A721B">
            <w:pPr>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36(1).pants</w:t>
            </w:r>
            <w:r w:rsidR="00E0196D">
              <w:rPr>
                <w:i/>
                <w:sz w:val="22"/>
                <w:szCs w:val="22"/>
              </w:rPr>
              <w:t xml:space="preserve">, </w:t>
            </w:r>
            <w:r w:rsidR="00E0196D" w:rsidRPr="00E0196D">
              <w:rPr>
                <w:i/>
                <w:sz w:val="22"/>
                <w:szCs w:val="22"/>
              </w:rPr>
              <w:t>89.pants</w:t>
            </w:r>
          </w:p>
          <w:p w14:paraId="31A0A21B" w14:textId="77777777" w:rsidR="006A721B" w:rsidRDefault="006A721B" w:rsidP="006A721B">
            <w:pPr>
              <w:jc w:val="both"/>
              <w:rPr>
                <w:i/>
                <w:sz w:val="22"/>
                <w:szCs w:val="22"/>
              </w:rPr>
            </w:pPr>
          </w:p>
          <w:p w14:paraId="7A77A798" w14:textId="77777777" w:rsidR="006A721B" w:rsidRPr="00596442" w:rsidRDefault="006A721B" w:rsidP="006A721B">
            <w:pPr>
              <w:jc w:val="both"/>
              <w:rPr>
                <w:i/>
                <w:sz w:val="22"/>
                <w:szCs w:val="22"/>
              </w:rPr>
            </w:pPr>
          </w:p>
          <w:p w14:paraId="282FACBA" w14:textId="5B655E7D" w:rsidR="006A721B" w:rsidRDefault="006A721B" w:rsidP="006A721B">
            <w:pPr>
              <w:jc w:val="both"/>
              <w:rPr>
                <w:sz w:val="22"/>
                <w:szCs w:val="22"/>
              </w:rPr>
            </w:pPr>
            <w:r w:rsidRPr="00A2172D">
              <w:rPr>
                <w:sz w:val="22"/>
                <w:szCs w:val="22"/>
              </w:rPr>
              <w:t>(EK 19.12.2013. vadlīniju  2.1.sadaļas 2</w:t>
            </w:r>
            <w:r>
              <w:rPr>
                <w:sz w:val="22"/>
                <w:szCs w:val="22"/>
              </w:rPr>
              <w:t>2</w:t>
            </w:r>
            <w:r w:rsidRPr="00A2172D">
              <w:rPr>
                <w:sz w:val="22"/>
                <w:szCs w:val="22"/>
              </w:rPr>
              <w:t>.punkts</w:t>
            </w:r>
            <w:r>
              <w:rPr>
                <w:i/>
                <w:sz w:val="22"/>
                <w:szCs w:val="22"/>
              </w:rPr>
              <w:t xml:space="preserve"> un tajā norādītie tiesu prakses gadījumi</w:t>
            </w:r>
            <w:r w:rsidRPr="00A2172D">
              <w:rPr>
                <w:sz w:val="22"/>
                <w:szCs w:val="22"/>
              </w:rPr>
              <w:t>)</w:t>
            </w:r>
          </w:p>
        </w:tc>
        <w:tc>
          <w:tcPr>
            <w:tcW w:w="2086" w:type="pct"/>
            <w:gridSpan w:val="2"/>
            <w:tcBorders>
              <w:bottom w:val="single" w:sz="4" w:space="0" w:color="auto"/>
            </w:tcBorders>
          </w:tcPr>
          <w:p w14:paraId="167B270E" w14:textId="6AB789CA" w:rsidR="006A721B" w:rsidRPr="00E0196D" w:rsidRDefault="00E0196D" w:rsidP="006A721B">
            <w:pPr>
              <w:jc w:val="both"/>
              <w:rPr>
                <w:sz w:val="22"/>
                <w:szCs w:val="22"/>
              </w:rPr>
            </w:pPr>
            <w:r w:rsidRPr="00E0196D">
              <w:rPr>
                <w:sz w:val="22"/>
                <w:szCs w:val="22"/>
              </w:rPr>
              <w:t>Nepamatoti</w:t>
            </w:r>
            <w:r w:rsidRPr="00E0196D">
              <w:rPr>
                <w:b/>
                <w:sz w:val="22"/>
                <w:szCs w:val="22"/>
              </w:rPr>
              <w:t xml:space="preserve"> </w:t>
            </w:r>
            <w:r w:rsidRPr="00E0196D">
              <w:rPr>
                <w:sz w:val="22"/>
                <w:szCs w:val="22"/>
              </w:rPr>
              <w:t xml:space="preserve">veikti </w:t>
            </w:r>
            <w:r w:rsidR="006A721B" w:rsidRPr="00E0196D">
              <w:rPr>
                <w:sz w:val="22"/>
                <w:szCs w:val="22"/>
              </w:rPr>
              <w:t xml:space="preserve">būtiski grozījumi iepirkuma līguma slēgšanas tiesību piešķiršanas nosacījumos, kas ietver, bet neaprobežojas ar, cenu/izmaksām vai ar iepirkuma līguma priekšmetu saistītiem kvalitātes kritērijiem, darbu veidu, </w:t>
            </w:r>
            <w:r>
              <w:rPr>
                <w:sz w:val="22"/>
                <w:szCs w:val="22"/>
              </w:rPr>
              <w:t>izpildes</w:t>
            </w:r>
            <w:r w:rsidR="006A721B" w:rsidRPr="00E0196D">
              <w:rPr>
                <w:sz w:val="22"/>
                <w:szCs w:val="22"/>
              </w:rPr>
              <w:t xml:space="preserve"> termiņu, maksāšanas noteikumiem un izmantotajiem materiāliem.</w:t>
            </w:r>
          </w:p>
          <w:p w14:paraId="480235B5" w14:textId="6E3368A3" w:rsidR="006A721B" w:rsidRDefault="006A721B" w:rsidP="006A721B">
            <w:pPr>
              <w:jc w:val="both"/>
              <w:rPr>
                <w:sz w:val="22"/>
                <w:szCs w:val="22"/>
              </w:rPr>
            </w:pPr>
          </w:p>
        </w:tc>
        <w:tc>
          <w:tcPr>
            <w:tcW w:w="912" w:type="pct"/>
            <w:tcBorders>
              <w:bottom w:val="single" w:sz="4" w:space="0" w:color="auto"/>
            </w:tcBorders>
          </w:tcPr>
          <w:p w14:paraId="6361F8A0" w14:textId="77777777" w:rsidR="006A721B" w:rsidRDefault="006A721B" w:rsidP="006A721B">
            <w:pPr>
              <w:jc w:val="both"/>
              <w:rPr>
                <w:sz w:val="22"/>
                <w:szCs w:val="22"/>
              </w:rPr>
            </w:pPr>
            <w:r>
              <w:rPr>
                <w:sz w:val="22"/>
                <w:szCs w:val="22"/>
              </w:rPr>
              <w:t>25% apmērā no maksājuma pieprasījumā iekļautajiem izdevumiem saistībā ar konkrēto līgumu</w:t>
            </w:r>
          </w:p>
          <w:p w14:paraId="52DCB4EB" w14:textId="77777777" w:rsidR="006A721B" w:rsidRDefault="006A721B" w:rsidP="006A721B">
            <w:pPr>
              <w:rPr>
                <w:sz w:val="22"/>
                <w:szCs w:val="22"/>
              </w:rPr>
            </w:pPr>
            <w:r>
              <w:rPr>
                <w:sz w:val="22"/>
                <w:szCs w:val="22"/>
              </w:rPr>
              <w:t>Plus</w:t>
            </w:r>
          </w:p>
          <w:p w14:paraId="17D34E4D" w14:textId="6CA58E9C" w:rsidR="006A721B" w:rsidRPr="00F06301" w:rsidRDefault="006A721B" w:rsidP="006A721B">
            <w:pPr>
              <w:jc w:val="both"/>
              <w:rPr>
                <w:sz w:val="22"/>
                <w:szCs w:val="22"/>
              </w:rPr>
            </w:pPr>
            <w:r>
              <w:rPr>
                <w:sz w:val="22"/>
                <w:szCs w:val="22"/>
              </w:rPr>
              <w:t xml:space="preserve">Papildus neatbilstoši veiktie izdevumi, kas radušies līguma būtisko  nosacījumu izmaiņu rezultātā </w:t>
            </w:r>
          </w:p>
        </w:tc>
      </w:tr>
      <w:tr w:rsidR="006A721B" w:rsidRPr="009D07C7" w14:paraId="43CA3E7A" w14:textId="77777777" w:rsidTr="00952CF5">
        <w:trPr>
          <w:trHeight w:val="332"/>
        </w:trPr>
        <w:tc>
          <w:tcPr>
            <w:tcW w:w="276" w:type="pct"/>
            <w:tcBorders>
              <w:bottom w:val="single" w:sz="4" w:space="0" w:color="auto"/>
            </w:tcBorders>
          </w:tcPr>
          <w:p w14:paraId="79997B96" w14:textId="77777777" w:rsidR="006A721B" w:rsidRPr="009D07C7" w:rsidRDefault="006A721B" w:rsidP="006A721B">
            <w:pPr>
              <w:numPr>
                <w:ilvl w:val="0"/>
                <w:numId w:val="1"/>
              </w:numPr>
              <w:rPr>
                <w:sz w:val="22"/>
                <w:szCs w:val="22"/>
              </w:rPr>
            </w:pPr>
          </w:p>
        </w:tc>
        <w:tc>
          <w:tcPr>
            <w:tcW w:w="1726" w:type="pct"/>
            <w:tcBorders>
              <w:bottom w:val="single" w:sz="4" w:space="0" w:color="auto"/>
            </w:tcBorders>
            <w:vAlign w:val="center"/>
          </w:tcPr>
          <w:p w14:paraId="7E8E8B39" w14:textId="77777777" w:rsidR="006A721B" w:rsidRDefault="006A721B" w:rsidP="006A721B">
            <w:pPr>
              <w:jc w:val="both"/>
              <w:rPr>
                <w:sz w:val="22"/>
                <w:szCs w:val="22"/>
              </w:rPr>
            </w:pPr>
            <w:r>
              <w:rPr>
                <w:sz w:val="22"/>
                <w:szCs w:val="22"/>
              </w:rPr>
              <w:t>Nepamatots apjoma samazinājums līguma ietvaros</w:t>
            </w:r>
          </w:p>
          <w:p w14:paraId="3D7FFB39" w14:textId="77777777" w:rsidR="006A721B" w:rsidRPr="002214D9" w:rsidRDefault="006A721B" w:rsidP="006A721B">
            <w:pPr>
              <w:jc w:val="both"/>
              <w:rPr>
                <w:i/>
                <w:sz w:val="22"/>
                <w:szCs w:val="22"/>
              </w:rPr>
            </w:pPr>
          </w:p>
          <w:p w14:paraId="17771BC3" w14:textId="77777777" w:rsidR="00FF2B67" w:rsidRPr="00596442" w:rsidRDefault="00FF2B67" w:rsidP="00FF2B67">
            <w:pPr>
              <w:jc w:val="both"/>
              <w:rPr>
                <w:i/>
                <w:sz w:val="22"/>
                <w:szCs w:val="22"/>
              </w:rPr>
            </w:pPr>
            <w:r w:rsidRPr="00596442">
              <w:rPr>
                <w:i/>
                <w:sz w:val="22"/>
                <w:szCs w:val="22"/>
              </w:rPr>
              <w:t>Direktīvas Nr.</w:t>
            </w:r>
            <w:r>
              <w:rPr>
                <w:i/>
                <w:sz w:val="22"/>
                <w:szCs w:val="22"/>
              </w:rPr>
              <w:t>2014/24/ES 18(1).pants, 72.pants</w:t>
            </w:r>
          </w:p>
          <w:p w14:paraId="4F70BA57" w14:textId="77777777" w:rsidR="00FF2B67" w:rsidRDefault="00FF2B67" w:rsidP="00FF2B67">
            <w:pPr>
              <w:jc w:val="both"/>
              <w:rPr>
                <w:i/>
                <w:sz w:val="22"/>
                <w:szCs w:val="22"/>
              </w:rPr>
            </w:pPr>
            <w:r w:rsidRPr="008A18C4">
              <w:rPr>
                <w:i/>
                <w:sz w:val="22"/>
                <w:szCs w:val="22"/>
              </w:rPr>
              <w:t>Direktīva</w:t>
            </w:r>
            <w:r>
              <w:rPr>
                <w:i/>
                <w:sz w:val="22"/>
                <w:szCs w:val="22"/>
              </w:rPr>
              <w:t>s Nr.</w:t>
            </w:r>
            <w:r w:rsidRPr="008A18C4">
              <w:rPr>
                <w:i/>
                <w:sz w:val="22"/>
                <w:szCs w:val="22"/>
              </w:rPr>
              <w:t>2014/25/ES</w:t>
            </w:r>
            <w:r>
              <w:rPr>
                <w:i/>
                <w:sz w:val="22"/>
                <w:szCs w:val="22"/>
              </w:rPr>
              <w:t xml:space="preserve"> 36(1).pants, </w:t>
            </w:r>
            <w:r w:rsidRPr="00E0196D">
              <w:rPr>
                <w:i/>
                <w:sz w:val="22"/>
                <w:szCs w:val="22"/>
              </w:rPr>
              <w:t>89.pants</w:t>
            </w:r>
          </w:p>
          <w:p w14:paraId="104F7774" w14:textId="77777777" w:rsidR="006A721B" w:rsidRPr="002214D9" w:rsidRDefault="006A721B" w:rsidP="006A721B">
            <w:pPr>
              <w:jc w:val="both"/>
              <w:rPr>
                <w:i/>
                <w:sz w:val="22"/>
                <w:szCs w:val="22"/>
              </w:rPr>
            </w:pPr>
          </w:p>
          <w:p w14:paraId="10273503" w14:textId="53A6508A" w:rsidR="006A721B" w:rsidRDefault="006A721B" w:rsidP="006A721B">
            <w:pPr>
              <w:jc w:val="both"/>
              <w:rPr>
                <w:sz w:val="22"/>
                <w:szCs w:val="22"/>
              </w:rPr>
            </w:pPr>
            <w:r w:rsidRPr="00A2172D">
              <w:rPr>
                <w:sz w:val="22"/>
                <w:szCs w:val="22"/>
              </w:rPr>
              <w:t>(EK 19.12.2013. vadlīniju  2.1.sadaļas 2</w:t>
            </w:r>
            <w:r>
              <w:rPr>
                <w:sz w:val="22"/>
                <w:szCs w:val="22"/>
              </w:rPr>
              <w:t>3</w:t>
            </w:r>
            <w:r w:rsidRPr="00A2172D">
              <w:rPr>
                <w:sz w:val="22"/>
                <w:szCs w:val="22"/>
              </w:rPr>
              <w:t>.punkts)</w:t>
            </w:r>
          </w:p>
        </w:tc>
        <w:tc>
          <w:tcPr>
            <w:tcW w:w="2086" w:type="pct"/>
            <w:gridSpan w:val="2"/>
            <w:tcBorders>
              <w:bottom w:val="single" w:sz="4" w:space="0" w:color="auto"/>
            </w:tcBorders>
          </w:tcPr>
          <w:p w14:paraId="4B296FF5" w14:textId="31E38E96" w:rsidR="006A721B" w:rsidRDefault="006A721B" w:rsidP="006A721B">
            <w:pPr>
              <w:jc w:val="both"/>
              <w:rPr>
                <w:sz w:val="22"/>
                <w:szCs w:val="22"/>
              </w:rPr>
            </w:pPr>
            <w:r>
              <w:rPr>
                <w:sz w:val="22"/>
                <w:szCs w:val="22"/>
              </w:rPr>
              <w:t>I</w:t>
            </w:r>
            <w:r w:rsidRPr="00764B8A">
              <w:rPr>
                <w:sz w:val="22"/>
                <w:szCs w:val="22"/>
              </w:rPr>
              <w:t>epirkuma līguma slēgšanas tiesības</w:t>
            </w:r>
            <w:r w:rsidRPr="002214D9">
              <w:rPr>
                <w:sz w:val="22"/>
                <w:szCs w:val="22"/>
              </w:rPr>
              <w:t xml:space="preserve"> ir piešķirtas, ievērojot </w:t>
            </w:r>
            <w:r>
              <w:rPr>
                <w:sz w:val="22"/>
                <w:szCs w:val="22"/>
              </w:rPr>
              <w:t>nacionālo normatīvo aktu prasības</w:t>
            </w:r>
            <w:r w:rsidRPr="002214D9">
              <w:rPr>
                <w:sz w:val="22"/>
                <w:szCs w:val="22"/>
              </w:rPr>
              <w:t xml:space="preserve">, bet ir </w:t>
            </w:r>
            <w:r>
              <w:rPr>
                <w:sz w:val="22"/>
                <w:szCs w:val="22"/>
              </w:rPr>
              <w:t xml:space="preserve">nepamatoti </w:t>
            </w:r>
            <w:r w:rsidRPr="002214D9">
              <w:rPr>
                <w:sz w:val="22"/>
                <w:szCs w:val="22"/>
              </w:rPr>
              <w:t>samazināta līguma priekšmeta vērtība.</w:t>
            </w:r>
            <w:r>
              <w:rPr>
                <w:rFonts w:ascii="Arial" w:hAnsi="Arial" w:cs="Arial"/>
              </w:rPr>
              <w:t xml:space="preserve"> </w:t>
            </w:r>
          </w:p>
        </w:tc>
        <w:tc>
          <w:tcPr>
            <w:tcW w:w="912" w:type="pct"/>
            <w:tcBorders>
              <w:bottom w:val="single" w:sz="4" w:space="0" w:color="auto"/>
            </w:tcBorders>
            <w:vAlign w:val="center"/>
          </w:tcPr>
          <w:p w14:paraId="1A8A150A" w14:textId="77777777" w:rsidR="006A721B" w:rsidRDefault="006A721B" w:rsidP="006A721B">
            <w:pPr>
              <w:jc w:val="both"/>
              <w:rPr>
                <w:sz w:val="22"/>
                <w:szCs w:val="22"/>
              </w:rPr>
            </w:pPr>
            <w:r>
              <w:rPr>
                <w:sz w:val="22"/>
                <w:szCs w:val="22"/>
              </w:rPr>
              <w:t xml:space="preserve">Apjoma samazinājuma vērtība </w:t>
            </w:r>
          </w:p>
          <w:p w14:paraId="3E55EE7C" w14:textId="77777777" w:rsidR="006A721B" w:rsidRDefault="006A721B" w:rsidP="006A721B">
            <w:pPr>
              <w:jc w:val="both"/>
              <w:rPr>
                <w:sz w:val="22"/>
                <w:szCs w:val="22"/>
              </w:rPr>
            </w:pPr>
            <w:r>
              <w:rPr>
                <w:sz w:val="22"/>
                <w:szCs w:val="22"/>
              </w:rPr>
              <w:t>Plus</w:t>
            </w:r>
          </w:p>
          <w:p w14:paraId="0FB8E8DE" w14:textId="01AADA53" w:rsidR="006A721B" w:rsidRPr="00F06301" w:rsidRDefault="006A721B" w:rsidP="006A721B">
            <w:pPr>
              <w:jc w:val="both"/>
              <w:rPr>
                <w:sz w:val="22"/>
                <w:szCs w:val="22"/>
              </w:rPr>
            </w:pPr>
            <w:r>
              <w:rPr>
                <w:sz w:val="22"/>
                <w:szCs w:val="22"/>
              </w:rPr>
              <w:t>25% no līguma gala vērtības (piemēro tikai, ja līguma apjoma samazinājums ir būtisks)</w:t>
            </w:r>
          </w:p>
        </w:tc>
      </w:tr>
      <w:tr w:rsidR="006A721B" w:rsidRPr="009D07C7" w14:paraId="346170EC" w14:textId="77777777" w:rsidTr="00952CF5">
        <w:trPr>
          <w:trHeight w:val="332"/>
        </w:trPr>
        <w:tc>
          <w:tcPr>
            <w:tcW w:w="276" w:type="pct"/>
            <w:tcBorders>
              <w:bottom w:val="single" w:sz="4" w:space="0" w:color="auto"/>
            </w:tcBorders>
          </w:tcPr>
          <w:p w14:paraId="3F3F3952" w14:textId="77777777" w:rsidR="006A721B" w:rsidRPr="009D07C7" w:rsidRDefault="006A721B" w:rsidP="006A721B">
            <w:pPr>
              <w:numPr>
                <w:ilvl w:val="0"/>
                <w:numId w:val="1"/>
              </w:numPr>
              <w:rPr>
                <w:sz w:val="22"/>
                <w:szCs w:val="22"/>
              </w:rPr>
            </w:pPr>
          </w:p>
        </w:tc>
        <w:tc>
          <w:tcPr>
            <w:tcW w:w="1726" w:type="pct"/>
            <w:tcBorders>
              <w:bottom w:val="single" w:sz="4" w:space="0" w:color="auto"/>
            </w:tcBorders>
          </w:tcPr>
          <w:p w14:paraId="1122FA16" w14:textId="567430C6" w:rsidR="006A721B" w:rsidRPr="000F4391" w:rsidRDefault="00C21C59" w:rsidP="006A721B">
            <w:pPr>
              <w:jc w:val="both"/>
              <w:rPr>
                <w:sz w:val="22"/>
                <w:szCs w:val="22"/>
              </w:rPr>
            </w:pPr>
            <w:r w:rsidRPr="000F4391">
              <w:rPr>
                <w:sz w:val="22"/>
                <w:szCs w:val="22"/>
              </w:rPr>
              <w:t xml:space="preserve">Līguma slēgšanas tiesību piešķiršana par papildu darbiem, pakalpojumiem, piegādēm (ja šāda piešķiršana ir </w:t>
            </w:r>
            <w:r w:rsidRPr="00C21C59">
              <w:rPr>
                <w:sz w:val="22"/>
                <w:szCs w:val="22"/>
              </w:rPr>
              <w:t>nepamatotas</w:t>
            </w:r>
            <w:r>
              <w:rPr>
                <w:sz w:val="22"/>
                <w:szCs w:val="22"/>
              </w:rPr>
              <w:t xml:space="preserve"> </w:t>
            </w:r>
            <w:r w:rsidRPr="000F4391">
              <w:rPr>
                <w:sz w:val="22"/>
                <w:szCs w:val="22"/>
              </w:rPr>
              <w:t>būtiskas izmaiņas  sākotnējie</w:t>
            </w:r>
            <w:r>
              <w:rPr>
                <w:sz w:val="22"/>
                <w:szCs w:val="22"/>
              </w:rPr>
              <w:t>m</w:t>
            </w:r>
            <w:r w:rsidRPr="000F4391">
              <w:rPr>
                <w:sz w:val="22"/>
                <w:szCs w:val="22"/>
              </w:rPr>
              <w:t xml:space="preserve"> </w:t>
            </w:r>
            <w:r>
              <w:rPr>
                <w:sz w:val="22"/>
                <w:szCs w:val="22"/>
              </w:rPr>
              <w:t>līguma nosacījumiem</w:t>
            </w:r>
            <w:r w:rsidRPr="000F4391">
              <w:rPr>
                <w:sz w:val="22"/>
                <w:szCs w:val="22"/>
              </w:rPr>
              <w:t>)</w:t>
            </w:r>
          </w:p>
          <w:p w14:paraId="49E47F0A" w14:textId="77777777" w:rsidR="006A721B" w:rsidRPr="000F4391" w:rsidRDefault="006A721B" w:rsidP="006A721B">
            <w:pPr>
              <w:jc w:val="both"/>
              <w:rPr>
                <w:sz w:val="22"/>
                <w:szCs w:val="22"/>
                <w:highlight w:val="yellow"/>
              </w:rPr>
            </w:pPr>
          </w:p>
          <w:p w14:paraId="5DEA8383" w14:textId="2CBA7F6A" w:rsidR="006A721B" w:rsidRDefault="006A721B" w:rsidP="006A721B">
            <w:pPr>
              <w:jc w:val="both"/>
              <w:rPr>
                <w:i/>
                <w:sz w:val="22"/>
                <w:szCs w:val="22"/>
              </w:rPr>
            </w:pPr>
            <w:r w:rsidRPr="000F4391">
              <w:rPr>
                <w:i/>
                <w:sz w:val="22"/>
                <w:szCs w:val="22"/>
              </w:rPr>
              <w:t>Direktīvas</w:t>
            </w:r>
            <w:r w:rsidRPr="000F4391">
              <w:rPr>
                <w:sz w:val="22"/>
                <w:szCs w:val="22"/>
              </w:rPr>
              <w:t xml:space="preserve"> </w:t>
            </w:r>
            <w:r w:rsidRPr="000F4391">
              <w:rPr>
                <w:i/>
                <w:sz w:val="22"/>
                <w:szCs w:val="22"/>
              </w:rPr>
              <w:t>Nr.</w:t>
            </w:r>
            <w:r>
              <w:rPr>
                <w:i/>
                <w:sz w:val="22"/>
                <w:szCs w:val="22"/>
              </w:rPr>
              <w:t>2014/24/ES 72.pants</w:t>
            </w:r>
          </w:p>
          <w:p w14:paraId="7786C7B1" w14:textId="52A23B40" w:rsidR="006A721B" w:rsidRDefault="006A721B" w:rsidP="006A721B">
            <w:pPr>
              <w:jc w:val="both"/>
              <w:rPr>
                <w:sz w:val="22"/>
                <w:szCs w:val="22"/>
              </w:rPr>
            </w:pPr>
            <w:r w:rsidRPr="00A2172D">
              <w:rPr>
                <w:sz w:val="22"/>
                <w:szCs w:val="22"/>
              </w:rPr>
              <w:t>(EK 19.12.2013. vadlīniju  2.1.sadaļas 2</w:t>
            </w:r>
            <w:r>
              <w:rPr>
                <w:sz w:val="22"/>
                <w:szCs w:val="22"/>
              </w:rPr>
              <w:t>4</w:t>
            </w:r>
            <w:r w:rsidRPr="00A2172D">
              <w:rPr>
                <w:sz w:val="22"/>
                <w:szCs w:val="22"/>
              </w:rPr>
              <w:t>.punkts)</w:t>
            </w:r>
          </w:p>
        </w:tc>
        <w:tc>
          <w:tcPr>
            <w:tcW w:w="2086" w:type="pct"/>
            <w:gridSpan w:val="2"/>
            <w:tcBorders>
              <w:bottom w:val="single" w:sz="4" w:space="0" w:color="auto"/>
            </w:tcBorders>
          </w:tcPr>
          <w:p w14:paraId="70F14D90" w14:textId="512F815B" w:rsidR="006A721B" w:rsidRPr="00BD613D" w:rsidRDefault="00C21C59" w:rsidP="006A721B">
            <w:pPr>
              <w:jc w:val="both"/>
              <w:rPr>
                <w:rFonts w:ascii="TimesNewRoman,Bold" w:eastAsia="Calibri" w:hAnsi="TimesNewRoman,Bold" w:cs="TimesNewRoman,Bold"/>
                <w:bCs/>
                <w:sz w:val="22"/>
                <w:szCs w:val="22"/>
                <w:lang w:eastAsia="en-US"/>
              </w:rPr>
            </w:pPr>
            <w:r w:rsidRPr="00BD613D">
              <w:rPr>
                <w:rFonts w:ascii="TimesNewRoman,Bold" w:eastAsia="Calibri" w:hAnsi="TimesNewRoman,Bold" w:cs="TimesNewRoman,Bold"/>
                <w:bCs/>
                <w:sz w:val="22"/>
                <w:szCs w:val="22"/>
                <w:lang w:eastAsia="en-US"/>
              </w:rPr>
              <w:t>Galvenā līguma slēgšanas tiesības ir piešķirtas, ievērojot attiecīgajos noteikumos noteikto, bet viens vai vairāki no papildu līgumiem (sagatavots (-i) rakstveidā vai nē) noslēgts(-i), neievērojot nacionālos normatīvos aktus.</w:t>
            </w:r>
          </w:p>
          <w:p w14:paraId="268264C4" w14:textId="77E329CA" w:rsidR="00BD613D" w:rsidRDefault="00BD613D" w:rsidP="006A721B">
            <w:pPr>
              <w:jc w:val="both"/>
              <w:rPr>
                <w:b/>
              </w:rPr>
            </w:pPr>
          </w:p>
          <w:p w14:paraId="4A7934F7" w14:textId="77777777" w:rsidR="00BD613D" w:rsidRDefault="00BD613D" w:rsidP="006A721B">
            <w:pPr>
              <w:jc w:val="both"/>
              <w:rPr>
                <w:b/>
              </w:rPr>
            </w:pPr>
          </w:p>
          <w:p w14:paraId="08A7C764" w14:textId="3BFF1FC5" w:rsidR="00BD613D" w:rsidRDefault="00BD613D" w:rsidP="006A721B">
            <w:pPr>
              <w:jc w:val="both"/>
              <w:rPr>
                <w:sz w:val="22"/>
                <w:szCs w:val="22"/>
              </w:rPr>
            </w:pPr>
            <w:r>
              <w:rPr>
                <w:rFonts w:ascii="TimesNewRoman,Bold" w:eastAsia="Calibri" w:hAnsi="TimesNewRoman,Bold" w:cs="TimesNewRoman,Bold"/>
                <w:bCs/>
                <w:sz w:val="22"/>
                <w:szCs w:val="22"/>
                <w:lang w:eastAsia="en-US"/>
              </w:rPr>
              <w:t>Samazinātu finanšu korekciju var piemērot, ja papildu darbu kopējā vērtība</w:t>
            </w:r>
            <w:r w:rsidRPr="000F4391">
              <w:rPr>
                <w:rFonts w:ascii="TimesNewRoman,Bold" w:eastAsia="Calibri" w:hAnsi="TimesNewRoman,Bold" w:cs="TimesNewRoman,Bold"/>
                <w:bCs/>
                <w:sz w:val="22"/>
                <w:szCs w:val="22"/>
                <w:lang w:eastAsia="en-US"/>
              </w:rPr>
              <w:t xml:space="preserve"> nepārsniedz </w:t>
            </w:r>
            <w:r>
              <w:rPr>
                <w:rFonts w:eastAsia="Calibri"/>
                <w:bCs/>
                <w:sz w:val="22"/>
                <w:szCs w:val="22"/>
                <w:lang w:eastAsia="en-US"/>
              </w:rPr>
              <w:t xml:space="preserve">nacionālajos normatīvajos aktos </w:t>
            </w:r>
            <w:r w:rsidRPr="000F4391">
              <w:rPr>
                <w:rFonts w:ascii="TimesNewRoman,Bold" w:eastAsia="Calibri" w:hAnsi="TimesNewRoman,Bold" w:cs="TimesNewRoman,Bold"/>
                <w:bCs/>
                <w:sz w:val="22"/>
                <w:szCs w:val="22"/>
                <w:lang w:eastAsia="en-US"/>
              </w:rPr>
              <w:t>noteiktās robežvērtības no galvenā līguma vērtības</w:t>
            </w:r>
            <w:r>
              <w:rPr>
                <w:rFonts w:ascii="TimesNewRoman,Bold" w:eastAsia="Calibri" w:hAnsi="TimesNewRoman,Bold" w:cs="TimesNewRoman,Bold"/>
                <w:bCs/>
                <w:sz w:val="22"/>
                <w:szCs w:val="22"/>
                <w:lang w:eastAsia="en-US"/>
              </w:rPr>
              <w:t>.</w:t>
            </w:r>
          </w:p>
        </w:tc>
        <w:tc>
          <w:tcPr>
            <w:tcW w:w="912" w:type="pct"/>
            <w:tcBorders>
              <w:bottom w:val="single" w:sz="4" w:space="0" w:color="auto"/>
            </w:tcBorders>
          </w:tcPr>
          <w:p w14:paraId="36B96564" w14:textId="77777777" w:rsidR="006A721B" w:rsidRPr="000F4391" w:rsidRDefault="006A721B" w:rsidP="006A721B">
            <w:pPr>
              <w:jc w:val="both"/>
              <w:rPr>
                <w:sz w:val="22"/>
                <w:szCs w:val="22"/>
              </w:rPr>
            </w:pPr>
            <w:r w:rsidRPr="000F4391">
              <w:rPr>
                <w:sz w:val="22"/>
                <w:szCs w:val="22"/>
              </w:rPr>
              <w:t xml:space="preserve">100% </w:t>
            </w:r>
            <w:r>
              <w:rPr>
                <w:sz w:val="22"/>
                <w:szCs w:val="22"/>
              </w:rPr>
              <w:t xml:space="preserve"> izdevumiem par </w:t>
            </w:r>
            <w:r w:rsidRPr="000F4391">
              <w:rPr>
                <w:sz w:val="22"/>
                <w:szCs w:val="22"/>
              </w:rPr>
              <w:t>papildu</w:t>
            </w:r>
            <w:r>
              <w:rPr>
                <w:sz w:val="22"/>
                <w:szCs w:val="22"/>
              </w:rPr>
              <w:t xml:space="preserve"> darbiem.</w:t>
            </w:r>
          </w:p>
          <w:p w14:paraId="01737257" w14:textId="77777777" w:rsidR="006A721B" w:rsidRDefault="006A721B" w:rsidP="006A721B">
            <w:pPr>
              <w:jc w:val="both"/>
              <w:rPr>
                <w:sz w:val="22"/>
                <w:szCs w:val="22"/>
              </w:rPr>
            </w:pPr>
          </w:p>
          <w:p w14:paraId="44F6323F" w14:textId="77777777" w:rsidR="006A721B" w:rsidRDefault="006A721B" w:rsidP="006A721B">
            <w:pPr>
              <w:jc w:val="both"/>
              <w:rPr>
                <w:sz w:val="22"/>
                <w:szCs w:val="22"/>
              </w:rPr>
            </w:pPr>
          </w:p>
          <w:p w14:paraId="33F26F09" w14:textId="77777777" w:rsidR="006A721B" w:rsidRDefault="006A721B" w:rsidP="006A721B">
            <w:pPr>
              <w:jc w:val="both"/>
              <w:rPr>
                <w:sz w:val="22"/>
                <w:szCs w:val="22"/>
              </w:rPr>
            </w:pPr>
          </w:p>
          <w:p w14:paraId="7B5E2F44" w14:textId="77777777" w:rsidR="006A721B" w:rsidRPr="000F4391" w:rsidRDefault="006A721B" w:rsidP="006A721B">
            <w:pPr>
              <w:jc w:val="both"/>
              <w:rPr>
                <w:sz w:val="22"/>
                <w:szCs w:val="22"/>
              </w:rPr>
            </w:pPr>
          </w:p>
          <w:p w14:paraId="67484B8C" w14:textId="77777777" w:rsidR="006A721B" w:rsidRPr="000F4391" w:rsidRDefault="006A721B" w:rsidP="006A721B">
            <w:pPr>
              <w:jc w:val="both"/>
              <w:rPr>
                <w:sz w:val="22"/>
                <w:szCs w:val="22"/>
              </w:rPr>
            </w:pPr>
            <w:r w:rsidRPr="000F4391">
              <w:rPr>
                <w:rFonts w:ascii="TimesNewRoman,Bold" w:eastAsia="Calibri" w:hAnsi="TimesNewRoman,Bold" w:cs="TimesNewRoman,Bold"/>
                <w:bCs/>
                <w:sz w:val="22"/>
                <w:szCs w:val="22"/>
                <w:lang w:eastAsia="en-US"/>
              </w:rPr>
              <w:t>25%.</w:t>
            </w:r>
          </w:p>
          <w:p w14:paraId="5B871FD6" w14:textId="77777777" w:rsidR="006A721B" w:rsidRPr="000F4391" w:rsidRDefault="006A721B" w:rsidP="006A721B">
            <w:pPr>
              <w:jc w:val="both"/>
              <w:rPr>
                <w:sz w:val="22"/>
                <w:szCs w:val="22"/>
              </w:rPr>
            </w:pPr>
          </w:p>
          <w:p w14:paraId="279904FF" w14:textId="77777777" w:rsidR="006A721B" w:rsidRPr="00F06301" w:rsidRDefault="006A721B" w:rsidP="006A721B">
            <w:pPr>
              <w:jc w:val="both"/>
              <w:rPr>
                <w:sz w:val="22"/>
                <w:szCs w:val="22"/>
              </w:rPr>
            </w:pPr>
          </w:p>
        </w:tc>
      </w:tr>
      <w:tr w:rsidR="00AD2E7C" w:rsidRPr="009D07C7" w14:paraId="0186E62F" w14:textId="77777777" w:rsidTr="00952CF5">
        <w:trPr>
          <w:trHeight w:val="332"/>
        </w:trPr>
        <w:tc>
          <w:tcPr>
            <w:tcW w:w="276" w:type="pct"/>
            <w:tcBorders>
              <w:bottom w:val="single" w:sz="4" w:space="0" w:color="auto"/>
            </w:tcBorders>
          </w:tcPr>
          <w:p w14:paraId="08F36E8A" w14:textId="77777777" w:rsidR="00AD2E7C" w:rsidRPr="009D07C7" w:rsidRDefault="00AD2E7C" w:rsidP="00AD2E7C">
            <w:pPr>
              <w:numPr>
                <w:ilvl w:val="0"/>
                <w:numId w:val="1"/>
              </w:numPr>
              <w:rPr>
                <w:sz w:val="22"/>
                <w:szCs w:val="22"/>
              </w:rPr>
            </w:pPr>
          </w:p>
        </w:tc>
        <w:tc>
          <w:tcPr>
            <w:tcW w:w="1726" w:type="pct"/>
            <w:tcBorders>
              <w:bottom w:val="single" w:sz="4" w:space="0" w:color="auto"/>
            </w:tcBorders>
            <w:vAlign w:val="center"/>
          </w:tcPr>
          <w:p w14:paraId="193804F6" w14:textId="77777777" w:rsidR="00AD2E7C" w:rsidRPr="000F4391" w:rsidRDefault="00AD2E7C" w:rsidP="00AD2E7C">
            <w:pPr>
              <w:jc w:val="both"/>
              <w:rPr>
                <w:sz w:val="22"/>
                <w:szCs w:val="22"/>
              </w:rPr>
            </w:pPr>
            <w:r w:rsidRPr="000F4391">
              <w:rPr>
                <w:sz w:val="22"/>
                <w:szCs w:val="22"/>
              </w:rPr>
              <w:t>Papildu darbi vai pakalpojumi, kas pārsniedz attiecīgajos noteikumos noteiktos limitus</w:t>
            </w:r>
          </w:p>
          <w:p w14:paraId="152320CB" w14:textId="77777777" w:rsidR="00AD2E7C" w:rsidRPr="000F4391" w:rsidRDefault="00AD2E7C" w:rsidP="00AD2E7C">
            <w:pPr>
              <w:jc w:val="both"/>
              <w:rPr>
                <w:sz w:val="22"/>
                <w:szCs w:val="22"/>
              </w:rPr>
            </w:pPr>
          </w:p>
          <w:p w14:paraId="7FADD3E6" w14:textId="77777777" w:rsidR="00AD2E7C" w:rsidRPr="000F4391" w:rsidRDefault="00AD2E7C" w:rsidP="00AD2E7C">
            <w:pPr>
              <w:jc w:val="both"/>
              <w:rPr>
                <w:sz w:val="22"/>
                <w:szCs w:val="22"/>
              </w:rPr>
            </w:pPr>
            <w:r w:rsidRPr="000F4391">
              <w:rPr>
                <w:i/>
                <w:sz w:val="22"/>
                <w:szCs w:val="22"/>
              </w:rPr>
              <w:t>Direktīvas</w:t>
            </w:r>
            <w:r w:rsidRPr="000F4391">
              <w:rPr>
                <w:sz w:val="22"/>
                <w:szCs w:val="22"/>
              </w:rPr>
              <w:t xml:space="preserve"> </w:t>
            </w:r>
            <w:r w:rsidRPr="000F4391">
              <w:rPr>
                <w:i/>
                <w:sz w:val="22"/>
                <w:szCs w:val="22"/>
              </w:rPr>
              <w:t>Nr.</w:t>
            </w:r>
            <w:r>
              <w:rPr>
                <w:i/>
                <w:sz w:val="22"/>
                <w:szCs w:val="22"/>
              </w:rPr>
              <w:t>2014/24/ES 72.pants</w:t>
            </w:r>
          </w:p>
          <w:p w14:paraId="4AA71BAF" w14:textId="77777777" w:rsidR="00AD2E7C" w:rsidRDefault="00AD2E7C" w:rsidP="00AD2E7C">
            <w:pPr>
              <w:jc w:val="both"/>
              <w:rPr>
                <w:sz w:val="22"/>
                <w:szCs w:val="22"/>
                <w:highlight w:val="yellow"/>
              </w:rPr>
            </w:pPr>
          </w:p>
          <w:p w14:paraId="7DE45954" w14:textId="52503159" w:rsidR="00AD2E7C" w:rsidRDefault="00AD2E7C" w:rsidP="00AD2E7C">
            <w:pPr>
              <w:jc w:val="both"/>
              <w:rPr>
                <w:sz w:val="22"/>
                <w:szCs w:val="22"/>
              </w:rPr>
            </w:pPr>
            <w:r w:rsidRPr="00A2172D">
              <w:rPr>
                <w:sz w:val="22"/>
                <w:szCs w:val="22"/>
              </w:rPr>
              <w:t>(EK 19.12.2013. vadlīniju  2.1.sadaļas 2</w:t>
            </w:r>
            <w:r>
              <w:rPr>
                <w:sz w:val="22"/>
                <w:szCs w:val="22"/>
              </w:rPr>
              <w:t>5</w:t>
            </w:r>
            <w:r w:rsidRPr="00A2172D">
              <w:rPr>
                <w:sz w:val="22"/>
                <w:szCs w:val="22"/>
              </w:rPr>
              <w:t>.punkts)</w:t>
            </w:r>
          </w:p>
        </w:tc>
        <w:tc>
          <w:tcPr>
            <w:tcW w:w="2086" w:type="pct"/>
            <w:gridSpan w:val="2"/>
            <w:tcBorders>
              <w:bottom w:val="single" w:sz="4" w:space="0" w:color="auto"/>
            </w:tcBorders>
          </w:tcPr>
          <w:p w14:paraId="32089C71" w14:textId="77777777" w:rsidR="00AD2E7C" w:rsidRPr="00D35B97" w:rsidRDefault="00AD2E7C" w:rsidP="00AD2E7C">
            <w:pPr>
              <w:jc w:val="both"/>
              <w:rPr>
                <w:sz w:val="22"/>
                <w:szCs w:val="22"/>
              </w:rPr>
            </w:pPr>
            <w:r w:rsidRPr="00183225">
              <w:rPr>
                <w:sz w:val="22"/>
                <w:szCs w:val="22"/>
              </w:rPr>
              <w:t>Galvenā līguma slēgšanas tiesības ir piešķirtas, ievērojot</w:t>
            </w:r>
            <w:r>
              <w:rPr>
                <w:sz w:val="22"/>
                <w:szCs w:val="22"/>
              </w:rPr>
              <w:t xml:space="preserve"> nacionālos normatīvos aktus</w:t>
            </w:r>
            <w:r w:rsidRPr="00183225">
              <w:rPr>
                <w:sz w:val="22"/>
                <w:szCs w:val="22"/>
              </w:rPr>
              <w:t xml:space="preserve">, bet viena vai vairāku papildu </w:t>
            </w:r>
            <w:r w:rsidRPr="00D35B97">
              <w:rPr>
                <w:sz w:val="22"/>
                <w:szCs w:val="22"/>
              </w:rPr>
              <w:t>līgumcenas izmaiņu procentuālais apmērs pārsniedz normatīvajā regulējumā pieļaujamo apmēru</w:t>
            </w:r>
            <w:r>
              <w:rPr>
                <w:sz w:val="22"/>
                <w:szCs w:val="22"/>
              </w:rPr>
              <w:t>.</w:t>
            </w:r>
          </w:p>
          <w:p w14:paraId="3C43EA5F" w14:textId="77777777" w:rsidR="00AD2E7C" w:rsidRDefault="00AD2E7C" w:rsidP="00AD2E7C">
            <w:pPr>
              <w:jc w:val="both"/>
              <w:rPr>
                <w:sz w:val="22"/>
                <w:szCs w:val="22"/>
              </w:rPr>
            </w:pPr>
          </w:p>
        </w:tc>
        <w:tc>
          <w:tcPr>
            <w:tcW w:w="912" w:type="pct"/>
            <w:tcBorders>
              <w:bottom w:val="single" w:sz="4" w:space="0" w:color="auto"/>
            </w:tcBorders>
          </w:tcPr>
          <w:p w14:paraId="148305EC" w14:textId="22B260DC" w:rsidR="00AD2E7C" w:rsidRPr="00F06301" w:rsidRDefault="00AD2E7C" w:rsidP="00AD2E7C">
            <w:pPr>
              <w:jc w:val="both"/>
              <w:rPr>
                <w:sz w:val="22"/>
                <w:szCs w:val="22"/>
              </w:rPr>
            </w:pPr>
            <w:r w:rsidRPr="000F4391">
              <w:rPr>
                <w:sz w:val="22"/>
                <w:szCs w:val="22"/>
              </w:rPr>
              <w:t xml:space="preserve">100% </w:t>
            </w:r>
            <w:r>
              <w:rPr>
                <w:sz w:val="22"/>
                <w:szCs w:val="22"/>
              </w:rPr>
              <w:t xml:space="preserve">izdevumiem </w:t>
            </w:r>
            <w:r w:rsidRPr="000F4391">
              <w:rPr>
                <w:sz w:val="22"/>
                <w:szCs w:val="22"/>
              </w:rPr>
              <w:t xml:space="preserve">no apjoma, kas pārsniedz </w:t>
            </w:r>
            <w:r w:rsidRPr="00F129C1">
              <w:rPr>
                <w:sz w:val="22"/>
                <w:szCs w:val="22"/>
              </w:rPr>
              <w:t>attiecīgajos noteikumos noteiktos limitus</w:t>
            </w:r>
            <w:r w:rsidRPr="000F4391">
              <w:rPr>
                <w:sz w:val="22"/>
                <w:szCs w:val="22"/>
              </w:rPr>
              <w:t xml:space="preserve"> no līguma sākotnējās vērtības</w:t>
            </w:r>
          </w:p>
        </w:tc>
      </w:tr>
      <w:tr w:rsidR="006A721B" w:rsidRPr="009D07C7" w14:paraId="4C3EBB60" w14:textId="77777777" w:rsidTr="003763D5">
        <w:tc>
          <w:tcPr>
            <w:tcW w:w="5000" w:type="pct"/>
            <w:gridSpan w:val="5"/>
            <w:shd w:val="clear" w:color="auto" w:fill="D9D9D9"/>
          </w:tcPr>
          <w:p w14:paraId="029C964D" w14:textId="2691CB16" w:rsidR="006A721B" w:rsidRPr="009D07C7" w:rsidRDefault="006A721B" w:rsidP="00053FEF">
            <w:pPr>
              <w:spacing w:before="120" w:after="120"/>
              <w:jc w:val="center"/>
              <w:rPr>
                <w:b/>
                <w:sz w:val="22"/>
                <w:szCs w:val="22"/>
              </w:rPr>
            </w:pPr>
            <w:r w:rsidRPr="009D07C7">
              <w:rPr>
                <w:b/>
                <w:sz w:val="22"/>
                <w:szCs w:val="22"/>
              </w:rPr>
              <w:t>Vispārīgi jautājumi</w:t>
            </w:r>
          </w:p>
        </w:tc>
      </w:tr>
      <w:tr w:rsidR="006A721B" w:rsidRPr="009D07C7" w14:paraId="13012EB4" w14:textId="77777777" w:rsidTr="00797399">
        <w:tc>
          <w:tcPr>
            <w:tcW w:w="276" w:type="pct"/>
          </w:tcPr>
          <w:p w14:paraId="472DB6BF" w14:textId="77777777" w:rsidR="006A721B" w:rsidRPr="009D07C7" w:rsidRDefault="006A721B" w:rsidP="006A721B">
            <w:pPr>
              <w:numPr>
                <w:ilvl w:val="0"/>
                <w:numId w:val="1"/>
              </w:numPr>
              <w:jc w:val="both"/>
              <w:rPr>
                <w:sz w:val="22"/>
                <w:szCs w:val="22"/>
              </w:rPr>
            </w:pPr>
          </w:p>
        </w:tc>
        <w:tc>
          <w:tcPr>
            <w:tcW w:w="1726" w:type="pct"/>
          </w:tcPr>
          <w:p w14:paraId="3FC890EF" w14:textId="77777777" w:rsidR="006A721B" w:rsidRPr="009D07C7" w:rsidRDefault="006A721B" w:rsidP="006A721B">
            <w:pPr>
              <w:jc w:val="both"/>
              <w:rPr>
                <w:b/>
                <w:sz w:val="22"/>
                <w:szCs w:val="22"/>
              </w:rPr>
            </w:pPr>
            <w:r w:rsidRPr="00F66F92">
              <w:rPr>
                <w:b/>
                <w:sz w:val="22"/>
                <w:szCs w:val="22"/>
              </w:rPr>
              <w:t xml:space="preserve">Vispārīgs punkts par finanšu korekcijas apmēru – </w:t>
            </w:r>
            <w:r>
              <w:rPr>
                <w:b/>
                <w:sz w:val="22"/>
                <w:szCs w:val="22"/>
              </w:rPr>
              <w:t>2</w:t>
            </w:r>
            <w:r w:rsidRPr="00F66F92">
              <w:rPr>
                <w:b/>
                <w:sz w:val="22"/>
                <w:szCs w:val="22"/>
              </w:rPr>
              <w:t>5%</w:t>
            </w:r>
          </w:p>
        </w:tc>
        <w:tc>
          <w:tcPr>
            <w:tcW w:w="2086" w:type="pct"/>
            <w:gridSpan w:val="2"/>
          </w:tcPr>
          <w:p w14:paraId="0C6CE89C" w14:textId="07ED8C90" w:rsidR="006A721B" w:rsidRPr="009D07C7" w:rsidRDefault="006A721B" w:rsidP="006A721B">
            <w:pPr>
              <w:pStyle w:val="Text3"/>
              <w:snapToGrid w:val="0"/>
              <w:spacing w:after="0"/>
              <w:ind w:left="0"/>
              <w:rPr>
                <w:sz w:val="22"/>
                <w:szCs w:val="22"/>
                <w:lang w:val="lv-LV"/>
              </w:rPr>
            </w:pPr>
            <w:r w:rsidRPr="00F66F92">
              <w:rPr>
                <w:sz w:val="22"/>
                <w:szCs w:val="22"/>
                <w:lang w:val="lv-LV"/>
              </w:rPr>
              <w:t xml:space="preserve">Attiecas uz gadījumiem, ja konstatēta neatbilstība, kura nav atrunāta citos </w:t>
            </w:r>
            <w:r>
              <w:rPr>
                <w:sz w:val="22"/>
                <w:szCs w:val="22"/>
                <w:lang w:val="lv-LV"/>
              </w:rPr>
              <w:t>5</w:t>
            </w:r>
            <w:r w:rsidRPr="00F66F92">
              <w:rPr>
                <w:sz w:val="22"/>
                <w:szCs w:val="22"/>
                <w:lang w:val="lv-LV"/>
              </w:rPr>
              <w:t xml:space="preserve">.pielikumā minētajos neatbilstību aprakstos, bet, ņemot vērā </w:t>
            </w:r>
            <w:r>
              <w:rPr>
                <w:sz w:val="22"/>
                <w:szCs w:val="22"/>
                <w:lang w:val="lv-LV"/>
              </w:rPr>
              <w:t>pārkāpuma</w:t>
            </w:r>
            <w:r w:rsidRPr="00F66F92">
              <w:rPr>
                <w:sz w:val="22"/>
                <w:szCs w:val="22"/>
                <w:lang w:val="lv-LV"/>
              </w:rPr>
              <w:t xml:space="preserve"> būtiskumu</w:t>
            </w:r>
            <w:r w:rsidRPr="002D727A">
              <w:rPr>
                <w:rStyle w:val="FootnoteReference"/>
                <w:sz w:val="22"/>
                <w:szCs w:val="22"/>
              </w:rPr>
              <w:footnoteReference w:id="21"/>
            </w:r>
            <w:r w:rsidRPr="002D727A">
              <w:rPr>
                <w:sz w:val="22"/>
                <w:szCs w:val="22"/>
                <w:lang w:val="lv-LV"/>
              </w:rPr>
              <w:t>,</w:t>
            </w:r>
            <w:r w:rsidRPr="00F66F92">
              <w:rPr>
                <w:sz w:val="22"/>
                <w:szCs w:val="22"/>
                <w:lang w:val="lv-LV"/>
              </w:rPr>
              <w:t xml:space="preserve"> ir pamats piemērot </w:t>
            </w:r>
            <w:r>
              <w:rPr>
                <w:sz w:val="22"/>
                <w:szCs w:val="22"/>
                <w:lang w:val="lv-LV"/>
              </w:rPr>
              <w:t>25</w:t>
            </w:r>
            <w:r w:rsidRPr="00F66F92">
              <w:rPr>
                <w:sz w:val="22"/>
                <w:szCs w:val="22"/>
                <w:lang w:val="lv-LV"/>
              </w:rPr>
              <w:t xml:space="preserve">% finanšu korekciju.  </w:t>
            </w:r>
          </w:p>
        </w:tc>
        <w:tc>
          <w:tcPr>
            <w:tcW w:w="912" w:type="pct"/>
          </w:tcPr>
          <w:p w14:paraId="49245C99" w14:textId="77777777" w:rsidR="006A721B" w:rsidRPr="009D07C7" w:rsidRDefault="006A721B" w:rsidP="006A721B">
            <w:pPr>
              <w:pStyle w:val="Text3"/>
              <w:snapToGrid w:val="0"/>
              <w:spacing w:after="0"/>
              <w:ind w:left="0"/>
              <w:rPr>
                <w:sz w:val="22"/>
                <w:szCs w:val="22"/>
                <w:lang w:val="lv-LV"/>
              </w:rPr>
            </w:pPr>
            <w:r>
              <w:rPr>
                <w:sz w:val="22"/>
                <w:szCs w:val="22"/>
                <w:lang w:val="lv-LV"/>
              </w:rPr>
              <w:t>25%</w:t>
            </w:r>
          </w:p>
        </w:tc>
      </w:tr>
      <w:tr w:rsidR="006A721B" w:rsidRPr="009D07C7" w14:paraId="657C48C1" w14:textId="77777777" w:rsidTr="00797399">
        <w:tc>
          <w:tcPr>
            <w:tcW w:w="276" w:type="pct"/>
          </w:tcPr>
          <w:p w14:paraId="2F69700E" w14:textId="77777777" w:rsidR="006A721B" w:rsidRPr="009D07C7" w:rsidRDefault="006A721B" w:rsidP="006A721B">
            <w:pPr>
              <w:numPr>
                <w:ilvl w:val="0"/>
                <w:numId w:val="1"/>
              </w:numPr>
              <w:jc w:val="both"/>
              <w:rPr>
                <w:sz w:val="22"/>
                <w:szCs w:val="22"/>
              </w:rPr>
            </w:pPr>
          </w:p>
        </w:tc>
        <w:tc>
          <w:tcPr>
            <w:tcW w:w="1726" w:type="pct"/>
          </w:tcPr>
          <w:p w14:paraId="7AFC998E" w14:textId="77777777" w:rsidR="006A721B" w:rsidRPr="00F66F92" w:rsidRDefault="006A721B" w:rsidP="006A721B">
            <w:pPr>
              <w:jc w:val="both"/>
              <w:rPr>
                <w:b/>
                <w:sz w:val="22"/>
                <w:szCs w:val="22"/>
              </w:rPr>
            </w:pPr>
            <w:r w:rsidRPr="00F66F92">
              <w:rPr>
                <w:b/>
                <w:sz w:val="22"/>
                <w:szCs w:val="22"/>
              </w:rPr>
              <w:t xml:space="preserve">Vispārīgs punkts par finanšu korekcijas apmēru – </w:t>
            </w:r>
            <w:r>
              <w:rPr>
                <w:b/>
                <w:sz w:val="22"/>
                <w:szCs w:val="22"/>
              </w:rPr>
              <w:t>10</w:t>
            </w:r>
            <w:r w:rsidRPr="00F66F92">
              <w:rPr>
                <w:b/>
                <w:sz w:val="22"/>
                <w:szCs w:val="22"/>
              </w:rPr>
              <w:t>%</w:t>
            </w:r>
          </w:p>
        </w:tc>
        <w:tc>
          <w:tcPr>
            <w:tcW w:w="2086" w:type="pct"/>
            <w:gridSpan w:val="2"/>
          </w:tcPr>
          <w:p w14:paraId="479BDFEF" w14:textId="68A90057" w:rsidR="006A721B" w:rsidRPr="009D07C7" w:rsidRDefault="006A721B" w:rsidP="006A721B">
            <w:pPr>
              <w:pStyle w:val="Text3"/>
              <w:snapToGrid w:val="0"/>
              <w:spacing w:after="0"/>
              <w:ind w:left="0"/>
              <w:rPr>
                <w:sz w:val="22"/>
                <w:szCs w:val="22"/>
                <w:lang w:val="lv-LV"/>
              </w:rPr>
            </w:pPr>
            <w:r w:rsidRPr="00F66F92">
              <w:rPr>
                <w:sz w:val="22"/>
                <w:szCs w:val="22"/>
                <w:lang w:val="lv-LV"/>
              </w:rPr>
              <w:t xml:space="preserve">Attiecas uz gadījumiem, ja konstatēta neatbilstība, kura nav atrunāta citos </w:t>
            </w:r>
            <w:r>
              <w:rPr>
                <w:sz w:val="22"/>
                <w:szCs w:val="22"/>
                <w:lang w:val="lv-LV"/>
              </w:rPr>
              <w:t>5</w:t>
            </w:r>
            <w:r w:rsidRPr="00F66F92">
              <w:rPr>
                <w:sz w:val="22"/>
                <w:szCs w:val="22"/>
                <w:lang w:val="lv-LV"/>
              </w:rPr>
              <w:t xml:space="preserve">.pielikumā minētajos neatbilstību aprakstos, bet, ņemot vērā </w:t>
            </w:r>
            <w:r>
              <w:rPr>
                <w:sz w:val="22"/>
                <w:szCs w:val="22"/>
                <w:lang w:val="lv-LV"/>
              </w:rPr>
              <w:t>pārkāpuma</w:t>
            </w:r>
            <w:r w:rsidRPr="00F66F92">
              <w:rPr>
                <w:sz w:val="22"/>
                <w:szCs w:val="22"/>
                <w:lang w:val="lv-LV"/>
              </w:rPr>
              <w:t xml:space="preserve"> būtiskumu, ir pamats piemērot </w:t>
            </w:r>
            <w:r>
              <w:rPr>
                <w:sz w:val="22"/>
                <w:szCs w:val="22"/>
                <w:lang w:val="lv-LV"/>
              </w:rPr>
              <w:t>10</w:t>
            </w:r>
            <w:r w:rsidRPr="00F66F92">
              <w:rPr>
                <w:sz w:val="22"/>
                <w:szCs w:val="22"/>
                <w:lang w:val="lv-LV"/>
              </w:rPr>
              <w:t xml:space="preserve">% finanšu korekciju.  </w:t>
            </w:r>
          </w:p>
        </w:tc>
        <w:tc>
          <w:tcPr>
            <w:tcW w:w="912" w:type="pct"/>
          </w:tcPr>
          <w:p w14:paraId="41EABDB3" w14:textId="77777777" w:rsidR="006A721B" w:rsidRPr="009D07C7" w:rsidRDefault="006A721B" w:rsidP="006A721B">
            <w:pPr>
              <w:pStyle w:val="Text3"/>
              <w:snapToGrid w:val="0"/>
              <w:spacing w:after="0"/>
              <w:ind w:left="0"/>
              <w:rPr>
                <w:sz w:val="22"/>
                <w:szCs w:val="22"/>
                <w:lang w:val="lv-LV"/>
              </w:rPr>
            </w:pPr>
            <w:r>
              <w:rPr>
                <w:sz w:val="22"/>
                <w:szCs w:val="22"/>
                <w:lang w:val="lv-LV"/>
              </w:rPr>
              <w:t>10%</w:t>
            </w:r>
          </w:p>
        </w:tc>
      </w:tr>
      <w:tr w:rsidR="006A721B" w:rsidRPr="009D07C7" w14:paraId="027B1061" w14:textId="77777777" w:rsidTr="00797399">
        <w:tc>
          <w:tcPr>
            <w:tcW w:w="276" w:type="pct"/>
          </w:tcPr>
          <w:p w14:paraId="6BFFEDF3" w14:textId="77777777" w:rsidR="006A721B" w:rsidRPr="009D07C7" w:rsidRDefault="006A721B" w:rsidP="006A721B">
            <w:pPr>
              <w:numPr>
                <w:ilvl w:val="0"/>
                <w:numId w:val="1"/>
              </w:numPr>
              <w:rPr>
                <w:sz w:val="22"/>
                <w:szCs w:val="22"/>
              </w:rPr>
            </w:pPr>
          </w:p>
        </w:tc>
        <w:tc>
          <w:tcPr>
            <w:tcW w:w="1726" w:type="pct"/>
          </w:tcPr>
          <w:p w14:paraId="54587B50" w14:textId="77777777" w:rsidR="006A721B" w:rsidRPr="009D07C7" w:rsidRDefault="006A721B" w:rsidP="006A721B">
            <w:pPr>
              <w:rPr>
                <w:sz w:val="22"/>
                <w:szCs w:val="22"/>
              </w:rPr>
            </w:pPr>
            <w:r w:rsidRPr="00EE2394">
              <w:rPr>
                <w:b/>
                <w:sz w:val="22"/>
                <w:szCs w:val="22"/>
              </w:rPr>
              <w:t>Vispārīgs punkts par finanšu korekcijas apmēru</w:t>
            </w:r>
            <w:r w:rsidRPr="009D07C7">
              <w:rPr>
                <w:sz w:val="22"/>
                <w:szCs w:val="22"/>
              </w:rPr>
              <w:t xml:space="preserve"> – 5%</w:t>
            </w:r>
          </w:p>
        </w:tc>
        <w:tc>
          <w:tcPr>
            <w:tcW w:w="2086" w:type="pct"/>
            <w:gridSpan w:val="2"/>
          </w:tcPr>
          <w:p w14:paraId="617F859A" w14:textId="137AB9BF" w:rsidR="006A721B" w:rsidRPr="009D07C7" w:rsidRDefault="006A721B" w:rsidP="006A721B">
            <w:pPr>
              <w:jc w:val="both"/>
              <w:rPr>
                <w:sz w:val="22"/>
                <w:szCs w:val="22"/>
              </w:rPr>
            </w:pPr>
            <w:r w:rsidRPr="009D07C7">
              <w:rPr>
                <w:sz w:val="22"/>
                <w:szCs w:val="22"/>
              </w:rPr>
              <w:t xml:space="preserve">Attiecas uz </w:t>
            </w:r>
            <w:r>
              <w:rPr>
                <w:sz w:val="22"/>
                <w:szCs w:val="22"/>
              </w:rPr>
              <w:t>gadījumiem, ja konstatēta neatbilstība, kura nav atrunāta citos 5.pielikumā minētajos neatbilstību aprakstos, bet, ņemot vērā pārkāpuma</w:t>
            </w:r>
            <w:r w:rsidRPr="00F66F92">
              <w:rPr>
                <w:sz w:val="22"/>
                <w:szCs w:val="22"/>
              </w:rPr>
              <w:t xml:space="preserve"> </w:t>
            </w:r>
            <w:r>
              <w:rPr>
                <w:sz w:val="22"/>
                <w:szCs w:val="22"/>
              </w:rPr>
              <w:t xml:space="preserve">būtiskumu, ir pamats piemērot 5% finanšu korekciju. </w:t>
            </w:r>
            <w:r w:rsidRPr="009D07C7">
              <w:rPr>
                <w:sz w:val="22"/>
                <w:szCs w:val="22"/>
              </w:rPr>
              <w:t xml:space="preserve"> </w:t>
            </w:r>
          </w:p>
        </w:tc>
        <w:tc>
          <w:tcPr>
            <w:tcW w:w="912" w:type="pct"/>
          </w:tcPr>
          <w:p w14:paraId="7435411B" w14:textId="77777777" w:rsidR="006A721B" w:rsidRDefault="006A721B" w:rsidP="006A721B">
            <w:pPr>
              <w:jc w:val="both"/>
              <w:rPr>
                <w:sz w:val="22"/>
                <w:szCs w:val="22"/>
              </w:rPr>
            </w:pPr>
            <w:r>
              <w:rPr>
                <w:sz w:val="22"/>
                <w:szCs w:val="22"/>
              </w:rPr>
              <w:t>5%</w:t>
            </w:r>
          </w:p>
          <w:p w14:paraId="3A0F92AF" w14:textId="74FA6E25" w:rsidR="006A721B" w:rsidRPr="009D07C7" w:rsidRDefault="006A721B" w:rsidP="006A721B">
            <w:pPr>
              <w:jc w:val="both"/>
              <w:rPr>
                <w:sz w:val="22"/>
                <w:szCs w:val="22"/>
              </w:rPr>
            </w:pPr>
            <w:r>
              <w:rPr>
                <w:sz w:val="22"/>
                <w:szCs w:val="22"/>
              </w:rPr>
              <w:t>Korekciju 5</w:t>
            </w:r>
            <w:r w:rsidRPr="009D07C7">
              <w:rPr>
                <w:sz w:val="22"/>
                <w:szCs w:val="22"/>
              </w:rPr>
              <w:t xml:space="preserve">% apmērā lietderīgi </w:t>
            </w:r>
            <w:r>
              <w:rPr>
                <w:sz w:val="22"/>
                <w:szCs w:val="22"/>
              </w:rPr>
              <w:t>piemērot</w:t>
            </w:r>
            <w:r w:rsidRPr="009D07C7">
              <w:rPr>
                <w:sz w:val="22"/>
                <w:szCs w:val="22"/>
              </w:rPr>
              <w:t xml:space="preserve"> arī gadījumos, kad ir konstatējamas neatbilstības pēc būtības ar augstāku korekcijas likmi, bet var pamatot, ka konkrēt</w:t>
            </w:r>
            <w:r>
              <w:rPr>
                <w:sz w:val="22"/>
                <w:szCs w:val="22"/>
              </w:rPr>
              <w:t>ais</w:t>
            </w:r>
            <w:r w:rsidRPr="009D07C7">
              <w:rPr>
                <w:sz w:val="22"/>
                <w:szCs w:val="22"/>
              </w:rPr>
              <w:t xml:space="preserve"> </w:t>
            </w:r>
            <w:r>
              <w:rPr>
                <w:sz w:val="22"/>
                <w:szCs w:val="22"/>
              </w:rPr>
              <w:t>pārkāpums</w:t>
            </w:r>
            <w:r w:rsidRPr="009D07C7">
              <w:rPr>
                <w:sz w:val="22"/>
                <w:szCs w:val="22"/>
              </w:rPr>
              <w:t xml:space="preserve"> </w:t>
            </w:r>
            <w:r>
              <w:rPr>
                <w:sz w:val="22"/>
                <w:szCs w:val="22"/>
              </w:rPr>
              <w:t>ir ar mazāku negatīvo ietekmi</w:t>
            </w:r>
            <w:r w:rsidRPr="009D07C7">
              <w:rPr>
                <w:sz w:val="22"/>
                <w:szCs w:val="22"/>
              </w:rPr>
              <w:t xml:space="preserve">. </w:t>
            </w:r>
          </w:p>
        </w:tc>
      </w:tr>
      <w:tr w:rsidR="006A721B" w:rsidRPr="009D07C7" w14:paraId="2540F601" w14:textId="77777777" w:rsidTr="00797399">
        <w:tc>
          <w:tcPr>
            <w:tcW w:w="276" w:type="pct"/>
          </w:tcPr>
          <w:p w14:paraId="463013AF" w14:textId="77777777" w:rsidR="006A721B" w:rsidRPr="009D07C7" w:rsidRDefault="006A721B" w:rsidP="006A721B">
            <w:pPr>
              <w:numPr>
                <w:ilvl w:val="0"/>
                <w:numId w:val="1"/>
              </w:numPr>
              <w:rPr>
                <w:sz w:val="22"/>
                <w:szCs w:val="22"/>
              </w:rPr>
            </w:pPr>
          </w:p>
        </w:tc>
        <w:tc>
          <w:tcPr>
            <w:tcW w:w="1726" w:type="pct"/>
          </w:tcPr>
          <w:p w14:paraId="3D6FEE21" w14:textId="77777777" w:rsidR="006A721B" w:rsidRPr="009D07C7" w:rsidRDefault="006A721B" w:rsidP="006A721B">
            <w:pPr>
              <w:rPr>
                <w:sz w:val="22"/>
                <w:szCs w:val="22"/>
              </w:rPr>
            </w:pPr>
            <w:r w:rsidRPr="009D07C7">
              <w:rPr>
                <w:sz w:val="22"/>
                <w:szCs w:val="22"/>
              </w:rPr>
              <w:t>Vispārīgs punkts par finanšu korekcijas apmēru 2%</w:t>
            </w:r>
          </w:p>
        </w:tc>
        <w:tc>
          <w:tcPr>
            <w:tcW w:w="2086" w:type="pct"/>
            <w:gridSpan w:val="2"/>
          </w:tcPr>
          <w:p w14:paraId="0A0F3265" w14:textId="0916FE35" w:rsidR="006A721B" w:rsidRPr="009D07C7" w:rsidRDefault="006A721B" w:rsidP="006A721B">
            <w:pPr>
              <w:jc w:val="both"/>
              <w:rPr>
                <w:sz w:val="22"/>
                <w:szCs w:val="22"/>
              </w:rPr>
            </w:pPr>
            <w:r w:rsidRPr="00F66F92">
              <w:rPr>
                <w:sz w:val="22"/>
                <w:szCs w:val="22"/>
              </w:rPr>
              <w:t xml:space="preserve">Attiecas uz gadījumiem, ja konstatēta neatbilstība, kura nav atrunāta citos </w:t>
            </w:r>
            <w:r>
              <w:rPr>
                <w:sz w:val="22"/>
                <w:szCs w:val="22"/>
              </w:rPr>
              <w:t>5</w:t>
            </w:r>
            <w:r w:rsidRPr="00F66F92">
              <w:rPr>
                <w:sz w:val="22"/>
                <w:szCs w:val="22"/>
              </w:rPr>
              <w:t>.pielikumā minētajos neatbilstību aprakstos, bet, ņemot vērā neatbilstības būtiskumu, ir pamats piemērot</w:t>
            </w:r>
            <w:r>
              <w:rPr>
                <w:sz w:val="22"/>
                <w:szCs w:val="22"/>
              </w:rPr>
              <w:t xml:space="preserve"> par 5%</w:t>
            </w:r>
            <w:r w:rsidRPr="00F66F92">
              <w:rPr>
                <w:sz w:val="22"/>
                <w:szCs w:val="22"/>
              </w:rPr>
              <w:t xml:space="preserve"> </w:t>
            </w:r>
            <w:r>
              <w:rPr>
                <w:sz w:val="22"/>
                <w:szCs w:val="22"/>
              </w:rPr>
              <w:t>zemāku</w:t>
            </w:r>
            <w:r w:rsidRPr="00F66F92">
              <w:rPr>
                <w:sz w:val="22"/>
                <w:szCs w:val="22"/>
              </w:rPr>
              <w:t xml:space="preserve"> finanšu korekciju.  </w:t>
            </w:r>
          </w:p>
        </w:tc>
        <w:tc>
          <w:tcPr>
            <w:tcW w:w="912" w:type="pct"/>
          </w:tcPr>
          <w:p w14:paraId="040D0E55" w14:textId="77777777" w:rsidR="006A721B" w:rsidRDefault="006A721B" w:rsidP="006A721B">
            <w:pPr>
              <w:jc w:val="both"/>
              <w:rPr>
                <w:sz w:val="22"/>
                <w:szCs w:val="22"/>
              </w:rPr>
            </w:pPr>
            <w:r>
              <w:rPr>
                <w:sz w:val="22"/>
                <w:szCs w:val="22"/>
              </w:rPr>
              <w:t>2%</w:t>
            </w:r>
          </w:p>
          <w:p w14:paraId="03EB8ADB" w14:textId="77777777" w:rsidR="006A721B" w:rsidRDefault="006A721B" w:rsidP="006A721B">
            <w:pPr>
              <w:jc w:val="both"/>
              <w:rPr>
                <w:sz w:val="22"/>
                <w:szCs w:val="22"/>
              </w:rPr>
            </w:pPr>
          </w:p>
          <w:p w14:paraId="31A1BF9F" w14:textId="4422D36C" w:rsidR="006A721B" w:rsidRPr="009D07C7" w:rsidRDefault="006A721B" w:rsidP="006A721B">
            <w:pPr>
              <w:jc w:val="both"/>
              <w:rPr>
                <w:sz w:val="22"/>
                <w:szCs w:val="22"/>
              </w:rPr>
            </w:pPr>
            <w:r w:rsidRPr="009D07C7">
              <w:rPr>
                <w:sz w:val="22"/>
                <w:szCs w:val="22"/>
              </w:rPr>
              <w:t>Korekcijas apmēru</w:t>
            </w:r>
            <w:r>
              <w:rPr>
                <w:sz w:val="22"/>
                <w:szCs w:val="22"/>
              </w:rPr>
              <w:t xml:space="preserve"> </w:t>
            </w:r>
            <w:r w:rsidRPr="009D07C7">
              <w:rPr>
                <w:sz w:val="22"/>
                <w:szCs w:val="22"/>
              </w:rPr>
              <w:t xml:space="preserve">palielina no 2% </w:t>
            </w:r>
            <w:r>
              <w:rPr>
                <w:sz w:val="22"/>
                <w:szCs w:val="22"/>
              </w:rPr>
              <w:t>uz</w:t>
            </w:r>
            <w:r w:rsidRPr="009D07C7">
              <w:rPr>
                <w:sz w:val="22"/>
                <w:szCs w:val="22"/>
              </w:rPr>
              <w:t xml:space="preserve"> 5%, ja pēc pirmās veiktās izdevumu korekcijas atklāj tādu pašu neatbilstību un atbildīgā institūcija pēc pirmās korekcijas nav veikusi vajadzīgos pasākumus attiecībā uz </w:t>
            </w:r>
            <w:r>
              <w:rPr>
                <w:sz w:val="22"/>
                <w:szCs w:val="22"/>
              </w:rPr>
              <w:t>pārkāpuma</w:t>
            </w:r>
            <w:r w:rsidRPr="009D07C7">
              <w:rPr>
                <w:sz w:val="22"/>
                <w:szCs w:val="22"/>
              </w:rPr>
              <w:t xml:space="preserve"> </w:t>
            </w:r>
            <w:r>
              <w:rPr>
                <w:sz w:val="22"/>
                <w:szCs w:val="22"/>
              </w:rPr>
              <w:t xml:space="preserve">turpmāku </w:t>
            </w:r>
            <w:r w:rsidRPr="009D07C7">
              <w:rPr>
                <w:sz w:val="22"/>
                <w:szCs w:val="22"/>
              </w:rPr>
              <w:t>novēršanu.</w:t>
            </w:r>
          </w:p>
        </w:tc>
      </w:tr>
      <w:tr w:rsidR="006A721B" w:rsidRPr="009D07C7" w14:paraId="5CA94456" w14:textId="77777777" w:rsidTr="00797399">
        <w:tc>
          <w:tcPr>
            <w:tcW w:w="276" w:type="pct"/>
          </w:tcPr>
          <w:p w14:paraId="482A4387" w14:textId="77777777" w:rsidR="006A721B" w:rsidRPr="009D07C7" w:rsidRDefault="006A721B" w:rsidP="006A721B">
            <w:pPr>
              <w:numPr>
                <w:ilvl w:val="0"/>
                <w:numId w:val="1"/>
              </w:numPr>
              <w:rPr>
                <w:sz w:val="22"/>
                <w:szCs w:val="22"/>
              </w:rPr>
            </w:pPr>
          </w:p>
        </w:tc>
        <w:tc>
          <w:tcPr>
            <w:tcW w:w="1726" w:type="pct"/>
          </w:tcPr>
          <w:p w14:paraId="186D709B" w14:textId="77777777" w:rsidR="006A721B" w:rsidRPr="009D07C7" w:rsidRDefault="006A721B" w:rsidP="006A721B">
            <w:pPr>
              <w:jc w:val="both"/>
              <w:rPr>
                <w:sz w:val="22"/>
                <w:szCs w:val="22"/>
              </w:rPr>
            </w:pPr>
            <w:r w:rsidRPr="009D07C7">
              <w:rPr>
                <w:sz w:val="22"/>
                <w:szCs w:val="22"/>
              </w:rPr>
              <w:t>Vispārīgs punkts par finanšu korekcijas piemērošanu gadījumos, kad konstatēts dubultfinansējums</w:t>
            </w:r>
          </w:p>
        </w:tc>
        <w:tc>
          <w:tcPr>
            <w:tcW w:w="2086" w:type="pct"/>
            <w:gridSpan w:val="2"/>
          </w:tcPr>
          <w:p w14:paraId="1FA6A3CA" w14:textId="47E96B1F" w:rsidR="006A721B" w:rsidRPr="009D07C7" w:rsidRDefault="006A721B" w:rsidP="006A721B">
            <w:pPr>
              <w:jc w:val="both"/>
              <w:rPr>
                <w:sz w:val="22"/>
                <w:szCs w:val="22"/>
              </w:rPr>
            </w:pPr>
            <w:r w:rsidRPr="009D07C7">
              <w:rPr>
                <w:sz w:val="22"/>
                <w:szCs w:val="22"/>
              </w:rPr>
              <w:t>Ja</w:t>
            </w:r>
            <w:r>
              <w:rPr>
                <w:sz w:val="22"/>
                <w:szCs w:val="22"/>
              </w:rPr>
              <w:t xml:space="preserve"> sadarbības</w:t>
            </w:r>
            <w:r w:rsidRPr="009D07C7">
              <w:rPr>
                <w:sz w:val="22"/>
                <w:szCs w:val="22"/>
              </w:rPr>
              <w:t xml:space="preserve"> iestāde konstatējusi, ka projekta ietvaros veiktās darbības pārklājas ar cita ES fonda (vai cita finanšu instrumenta) projekta ietvaros veiktajām darbībām, kas ietekmē ES fondu projekta mērķa</w:t>
            </w:r>
            <w:r>
              <w:rPr>
                <w:sz w:val="22"/>
                <w:szCs w:val="22"/>
              </w:rPr>
              <w:t xml:space="preserve"> vai</w:t>
            </w:r>
            <w:r w:rsidRPr="009D07C7">
              <w:rPr>
                <w:sz w:val="22"/>
                <w:szCs w:val="22"/>
              </w:rPr>
              <w:t xml:space="preserve"> rādītāju sasniegšanu, izmaks</w:t>
            </w:r>
            <w:r>
              <w:rPr>
                <w:sz w:val="22"/>
                <w:szCs w:val="22"/>
              </w:rPr>
              <w:t>as</w:t>
            </w:r>
            <w:r w:rsidRPr="009D07C7">
              <w:rPr>
                <w:sz w:val="22"/>
                <w:szCs w:val="22"/>
              </w:rPr>
              <w:t>, kas pārklājas</w:t>
            </w:r>
            <w:r>
              <w:rPr>
                <w:sz w:val="22"/>
                <w:szCs w:val="22"/>
              </w:rPr>
              <w:t>,</w:t>
            </w:r>
            <w:r w:rsidRPr="009D07C7">
              <w:rPr>
                <w:sz w:val="22"/>
                <w:szCs w:val="22"/>
              </w:rPr>
              <w:t xml:space="preserve"> </w:t>
            </w:r>
            <w:r>
              <w:rPr>
                <w:sz w:val="22"/>
                <w:szCs w:val="22"/>
              </w:rPr>
              <w:t>nav</w:t>
            </w:r>
            <w:r w:rsidRPr="009D07C7">
              <w:rPr>
                <w:sz w:val="22"/>
                <w:szCs w:val="22"/>
              </w:rPr>
              <w:t xml:space="preserve"> attiecinām</w:t>
            </w:r>
            <w:r>
              <w:rPr>
                <w:sz w:val="22"/>
                <w:szCs w:val="22"/>
              </w:rPr>
              <w:t>as.</w:t>
            </w:r>
          </w:p>
        </w:tc>
        <w:tc>
          <w:tcPr>
            <w:tcW w:w="912" w:type="pct"/>
          </w:tcPr>
          <w:p w14:paraId="56E65074" w14:textId="6227756F" w:rsidR="006A721B" w:rsidRPr="009D07C7" w:rsidRDefault="006A721B" w:rsidP="006747D7">
            <w:pPr>
              <w:jc w:val="both"/>
              <w:rPr>
                <w:sz w:val="22"/>
                <w:szCs w:val="22"/>
              </w:rPr>
            </w:pPr>
            <w:r>
              <w:rPr>
                <w:sz w:val="22"/>
                <w:szCs w:val="22"/>
              </w:rPr>
              <w:t>100%</w:t>
            </w:r>
          </w:p>
        </w:tc>
      </w:tr>
    </w:tbl>
    <w:p w14:paraId="29C58872" w14:textId="60C1CDA1" w:rsidR="00810144" w:rsidRDefault="00810144"/>
    <w:sectPr w:rsidR="00810144" w:rsidSect="00B426E1">
      <w:headerReference w:type="even" r:id="rId9"/>
      <w:footerReference w:type="default" r:id="rId10"/>
      <w:headerReference w:type="first" r:id="rId11"/>
      <w:pgSz w:w="16838" w:h="11906" w:orient="landscape"/>
      <w:pgMar w:top="1418"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1B9DC" w14:textId="77777777" w:rsidR="00BC67E8" w:rsidRDefault="00BC67E8" w:rsidP="001B0993">
      <w:r>
        <w:separator/>
      </w:r>
    </w:p>
  </w:endnote>
  <w:endnote w:type="continuationSeparator" w:id="0">
    <w:p w14:paraId="02153BAD" w14:textId="77777777" w:rsidR="00BC67E8" w:rsidRDefault="00BC67E8" w:rsidP="001B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 w:name="Verdana,Italic">
    <w:altName w:val="MS Gothic"/>
    <w:panose1 w:val="00000000000000000000"/>
    <w:charset w:val="80"/>
    <w:family w:val="auto"/>
    <w:notTrueType/>
    <w:pitch w:val="default"/>
    <w:sig w:usb0="00000001" w:usb1="08070000" w:usb2="00000010" w:usb3="00000000" w:csb0="00020000" w:csb1="00000000"/>
  </w:font>
  <w:font w:name="Verdana,Bold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B304" w14:textId="144E46C7" w:rsidR="00BC67E8" w:rsidRDefault="00BC67E8">
    <w:pPr>
      <w:pStyle w:val="Footer"/>
      <w:jc w:val="center"/>
    </w:pPr>
    <w:r>
      <w:fldChar w:fldCharType="begin"/>
    </w:r>
    <w:r>
      <w:instrText xml:space="preserve"> PAGE   \* MERGEFORMAT </w:instrText>
    </w:r>
    <w:r>
      <w:fldChar w:fldCharType="separate"/>
    </w:r>
    <w:r w:rsidR="00165632">
      <w:rPr>
        <w:noProof/>
      </w:rPr>
      <w:t>2</w:t>
    </w:r>
    <w:r>
      <w:rPr>
        <w:noProof/>
      </w:rPr>
      <w:fldChar w:fldCharType="end"/>
    </w:r>
  </w:p>
  <w:p w14:paraId="77306A68" w14:textId="77777777" w:rsidR="00BC67E8" w:rsidRDefault="00BC6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4FFAA" w14:textId="77777777" w:rsidR="00BC67E8" w:rsidRDefault="00BC67E8" w:rsidP="001B0993">
      <w:r>
        <w:separator/>
      </w:r>
    </w:p>
  </w:footnote>
  <w:footnote w:type="continuationSeparator" w:id="0">
    <w:p w14:paraId="7B0F82C1" w14:textId="77777777" w:rsidR="00BC67E8" w:rsidRDefault="00BC67E8" w:rsidP="001B0993">
      <w:r>
        <w:continuationSeparator/>
      </w:r>
    </w:p>
  </w:footnote>
  <w:footnote w:id="1">
    <w:p w14:paraId="45A52874" w14:textId="77777777" w:rsidR="00BC67E8" w:rsidRDefault="00BC67E8" w:rsidP="00D309CE">
      <w:pPr>
        <w:pStyle w:val="FootnoteText"/>
        <w:jc w:val="both"/>
      </w:pPr>
      <w:r>
        <w:rPr>
          <w:rStyle w:val="FootnoteReference"/>
        </w:rPr>
        <w:footnoteRef/>
      </w:r>
      <w:r>
        <w:t xml:space="preserve"> Šī pielikuma </w:t>
      </w:r>
      <w:r w:rsidRPr="00F43ED9">
        <w:rPr>
          <w:b/>
        </w:rPr>
        <w:t>publisko iepirkumu normu pārkāpumu</w:t>
      </w:r>
      <w:r>
        <w:t xml:space="preserve"> gadījumos piemērojamās finanšu korekcijas apjomi sagatavoti pamatojoties uz EK pamatnostādnēm par tādu finanšu korekciju noteikšanu, kuras publiskā iepirkuma noteikumu neievērošanas gadījumā veic attiecībā uz izdevumiem, ko finansē Savienība saskaņā ar dalīto pārvaldību </w:t>
      </w:r>
    </w:p>
  </w:footnote>
  <w:footnote w:id="2">
    <w:p w14:paraId="581D35E9" w14:textId="77777777" w:rsidR="00BC67E8" w:rsidRPr="004C7197" w:rsidRDefault="00BC67E8" w:rsidP="00912E82">
      <w:pPr>
        <w:pStyle w:val="FootnoteText"/>
        <w:jc w:val="both"/>
      </w:pPr>
      <w:r>
        <w:rPr>
          <w:rStyle w:val="FootnoteReference"/>
        </w:rPr>
        <w:footnoteRef/>
      </w:r>
      <w:r>
        <w:t xml:space="preserve"> Pie sociāli ekonomiskajiem apstākļiem pieskaitāmi tādi rādītāji, kas skar šādas jomas, piemēram, iekšzemes kopprodukts, cenu pārmaiņas, finanses, investīcijas, iedzīvotāji, nodarbinātība, darba samaksa u.c.</w:t>
      </w:r>
    </w:p>
  </w:footnote>
  <w:footnote w:id="3">
    <w:p w14:paraId="73AA016F" w14:textId="517BA99D" w:rsidR="00BC67E8" w:rsidRPr="00B57273" w:rsidRDefault="00BC67E8" w:rsidP="00912E82">
      <w:pPr>
        <w:tabs>
          <w:tab w:val="left" w:pos="426"/>
          <w:tab w:val="center" w:leader="dot" w:pos="9072"/>
        </w:tabs>
        <w:contextualSpacing/>
        <w:jc w:val="both"/>
        <w:rPr>
          <w:sz w:val="18"/>
          <w:szCs w:val="18"/>
        </w:rPr>
      </w:pPr>
      <w:r>
        <w:rPr>
          <w:rStyle w:val="FootnoteReference"/>
        </w:rPr>
        <w:footnoteRef/>
      </w:r>
      <w:r>
        <w:t xml:space="preserve"> </w:t>
      </w:r>
      <w:r w:rsidRPr="00525E53">
        <w:rPr>
          <w:rFonts w:eastAsia="Calibri"/>
          <w:i/>
          <w:sz w:val="20"/>
          <w:szCs w:val="20"/>
        </w:rPr>
        <w:t>force majeure</w:t>
      </w:r>
      <w:r w:rsidRPr="00525E53">
        <w:rPr>
          <w:rFonts w:eastAsia="Calibri"/>
          <w:sz w:val="20"/>
          <w:szCs w:val="20"/>
        </w:rPr>
        <w:t xml:space="preserve"> </w:t>
      </w:r>
      <w:r w:rsidRPr="00B57273">
        <w:rPr>
          <w:i/>
          <w:iCs/>
          <w:color w:val="000000"/>
          <w:sz w:val="18"/>
          <w:szCs w:val="18"/>
        </w:rPr>
        <w:t>apstākļi tiks vērtēti kopsakarībā ar tiem principiem, kas nostiprināti līgumā vai vienošanā par projekta īstenošanu. Tas ir, puses tiek atbrīvotas no atbildības par līguma vai vienošanās pilnīgu vai daļēju neizpildi, ja šāda neizpilde radusies nepārvaramas varas vai ārkārtēju apstākļu rezultātā, kuru darbība sākusies pēc līguma vai vienošanās noslēgšanas un kurus nevarēja iepriekš ne paredzēt, ne novērst. Pie nepārvaramas varas un ārkārtēja rakstura apstākļiem pieskaitāmi: stihiskas nelaimes, avārijas, katastrofas, epidēmijas, epizootijas, kara darbība, nemieri, kas kavē vai pārtrauc līguma vai vienošanās saistību pilnīgu izpildi. Puses apņemas veikt nepieciešamos pasākumus, lai līdz minimumam samazinātu kaitējumus, kas var izrietēt no nepārvaramas varas apstākļiem, kā arī izpildīt attiecīgo līguma vai vienošanās saistību pēc nepārvaramas varas vai ārkārtēja rakstura apstākļu beigām. Tāpat, ņemot vērā 2007. – 2013. gada Eiropas Savienības fondu ieviešanas pieredzi pie šādiem apstākļiem varēs tikt pielīdzināti arī tie gadījumi, kas saistīti ar Ministru kabineta, ministrijas, Saeimas vai Eiropas Komisijas lēmumu, tas ir, ja projekta īstenošana tiks kavēta tādu Saeimas, Ministru kabineta, ministrijas vai Eiropas Komisijas lēmuma rezultātā, kuru pieņemšanu nebija iespējams paredzēt un šādu lēmumu izdošana nav saistīta ar  konkrēta finansējuma saņēmēja prettiesisku rīcību. Atsevišķos gadījumos par nepārvaramas varas apstākli var tikt uzskatīta arī tiešās pārvaldes iestādes, atvasinātas publiskas personas vai pastarpinātas pārvaldes iepriekš pieņemtā lēmuma maiņa, ja vien šāda lēmuma pieņēmējs un finansējuma saņēmējs (attiecībā uz kuru vai attiecībā uz kura darbību šāds lēmums ir pieņemts) nav viens un tas pats subjekts</w:t>
      </w:r>
    </w:p>
  </w:footnote>
  <w:footnote w:id="4">
    <w:p w14:paraId="2EDC21BE" w14:textId="670D54F4" w:rsidR="00BC67E8" w:rsidRDefault="00BC67E8" w:rsidP="00DE7A74">
      <w:pPr>
        <w:pStyle w:val="FootnoteText"/>
        <w:jc w:val="both"/>
      </w:pPr>
      <w:r>
        <w:rPr>
          <w:rStyle w:val="FootnoteReference"/>
        </w:rPr>
        <w:footnoteRef/>
      </w:r>
      <w:r>
        <w:t xml:space="preserve"> Saskaņā ar EK pieeju snieguma ietvar\ rādītāju nesasniegšanas gadījumā (EK </w:t>
      </w:r>
      <w:r w:rsidRPr="003D2D4F">
        <w:t>vadlīnijas dalībvalstīm par snieguma ietvaru, tā izvērtēšanu un rezervi</w:t>
      </w:r>
      <w:r>
        <w:t xml:space="preserve"> </w:t>
      </w:r>
      <w:r w:rsidRPr="003D2D4F">
        <w:t>http://www.esfondi.lv/vadlinijas--skaidrojumi</w:t>
      </w:r>
      <w:r>
        <w:t>)</w:t>
      </w:r>
    </w:p>
  </w:footnote>
  <w:footnote w:id="5">
    <w:p w14:paraId="6974B4EC" w14:textId="77777777" w:rsidR="00BC67E8" w:rsidRDefault="00BC67E8" w:rsidP="00C47764">
      <w:pPr>
        <w:pStyle w:val="Default"/>
      </w:pPr>
      <w:r w:rsidRPr="00CD5B78">
        <w:rPr>
          <w:rStyle w:val="FootnoteReference"/>
        </w:rPr>
        <w:footnoteRef/>
      </w:r>
      <w:r w:rsidRPr="00CD5B78">
        <w:t xml:space="preserve"> </w:t>
      </w:r>
      <w:r w:rsidRPr="0043634C">
        <w:rPr>
          <w:rFonts w:ascii="Times New Roman" w:hAnsi="Times New Roman" w:cs="Times New Roman"/>
          <w:color w:val="auto"/>
          <w:sz w:val="20"/>
          <w:szCs w:val="20"/>
        </w:rPr>
        <w:t xml:space="preserve">SIA „Dea Baltika” METODOLOĢISKA ROKASGRĀMATA PAR BŪTISKĀM PĀRMAIŅĀM, KAS TIEK VEIKTAS PROJEKTOS PIECU GADU LAIKĀ NO PĒDĒJĀ MAKSĀJUMA VEIKŠANAS  </w:t>
      </w:r>
      <w:hyperlink r:id="rId1" w:history="1">
        <w:r w:rsidRPr="0043634C">
          <w:rPr>
            <w:rStyle w:val="Hyperlink"/>
            <w:rFonts w:ascii="Times New Roman" w:hAnsi="Times New Roman" w:cs="Times New Roman"/>
            <w:sz w:val="20"/>
            <w:szCs w:val="20"/>
          </w:rPr>
          <w:t>http://m.esfondi.lv/upload/01-strukturfondi/petijumi/rokasgramata-100708-final.pdf</w:t>
        </w:r>
      </w:hyperlink>
    </w:p>
  </w:footnote>
  <w:footnote w:id="6">
    <w:p w14:paraId="3D4DAAC9" w14:textId="77777777" w:rsidR="00BC67E8" w:rsidRDefault="00BC67E8" w:rsidP="004B63B0">
      <w:pPr>
        <w:pStyle w:val="ListParagraph"/>
        <w:ind w:left="0"/>
        <w:contextualSpacing w:val="0"/>
        <w:jc w:val="both"/>
        <w:rPr>
          <w:rStyle w:val="Hyperlink"/>
          <w:sz w:val="20"/>
          <w:szCs w:val="20"/>
        </w:rPr>
      </w:pPr>
      <w:r>
        <w:rPr>
          <w:rStyle w:val="FootnoteReference"/>
        </w:rPr>
        <w:footnoteRef/>
      </w:r>
      <w:r>
        <w:t xml:space="preserve"> </w:t>
      </w:r>
      <w:r w:rsidRPr="004B63B0">
        <w:rPr>
          <w:sz w:val="20"/>
          <w:szCs w:val="20"/>
        </w:rPr>
        <w:t xml:space="preserve">Skatīt arī </w:t>
      </w:r>
      <w:r w:rsidRPr="004B63B0">
        <w:rPr>
          <w:rStyle w:val="Hyperlink"/>
          <w:color w:val="auto"/>
          <w:sz w:val="20"/>
          <w:szCs w:val="20"/>
          <w:u w:val="none"/>
        </w:rPr>
        <w:t>EK vadlīnijas par viltotu dokumentu identificēšanu (angļu valodā):</w:t>
      </w:r>
      <w:r w:rsidRPr="004B63B0">
        <w:rPr>
          <w:rStyle w:val="Hyperlink"/>
          <w:sz w:val="20"/>
          <w:szCs w:val="20"/>
        </w:rPr>
        <w:t xml:space="preserve"> </w:t>
      </w:r>
    </w:p>
    <w:p w14:paraId="679DADD2" w14:textId="77777777" w:rsidR="00BC67E8" w:rsidRDefault="00165632" w:rsidP="004B63B0">
      <w:pPr>
        <w:pStyle w:val="ListParagraph"/>
        <w:ind w:left="0"/>
        <w:contextualSpacing w:val="0"/>
        <w:jc w:val="both"/>
        <w:rPr>
          <w:rStyle w:val="Hyperlink"/>
          <w:color w:val="auto"/>
          <w:sz w:val="22"/>
          <w:u w:val="none"/>
        </w:rPr>
      </w:pPr>
      <w:hyperlink r:id="rId2" w:history="1">
        <w:r w:rsidR="00BC67E8" w:rsidRPr="004B63B0">
          <w:rPr>
            <w:rStyle w:val="Hyperlink"/>
            <w:sz w:val="20"/>
            <w:szCs w:val="20"/>
          </w:rPr>
          <w:t>http://www.esfondi.lv/upload/02-kohezijas_fonds/Lielie_projekti/EK_vadl_par_viltotu_dok_identif_EN.pdf</w:t>
        </w:r>
      </w:hyperlink>
      <w:r w:rsidR="00BC67E8">
        <w:rPr>
          <w:rStyle w:val="Hyperlink"/>
        </w:rPr>
        <w:t xml:space="preserve"> </w:t>
      </w:r>
    </w:p>
    <w:p w14:paraId="27223219" w14:textId="77777777" w:rsidR="00BC67E8" w:rsidRDefault="00BC67E8">
      <w:pPr>
        <w:pStyle w:val="FootnoteText"/>
      </w:pPr>
    </w:p>
  </w:footnote>
  <w:footnote w:id="7">
    <w:p w14:paraId="65E8B6A1" w14:textId="77777777" w:rsidR="00BC67E8" w:rsidRDefault="00BC67E8">
      <w:pPr>
        <w:pStyle w:val="FootnoteText"/>
      </w:pPr>
      <w:r>
        <w:rPr>
          <w:rStyle w:val="FootnoteReference"/>
        </w:rPr>
        <w:footnoteRef/>
      </w:r>
      <w:r>
        <w:t xml:space="preserve"> Skatīt arī vadlīniju </w:t>
      </w:r>
      <w:r w:rsidRPr="00810074">
        <w:t>25.9.punktu</w:t>
      </w:r>
    </w:p>
  </w:footnote>
  <w:footnote w:id="8">
    <w:p w14:paraId="2BB33E9E" w14:textId="75F8FA0F" w:rsidR="00BC67E8" w:rsidRPr="003F0E9A" w:rsidRDefault="00BC67E8" w:rsidP="004B63B0">
      <w:pPr>
        <w:pStyle w:val="FootnoteText"/>
        <w:jc w:val="both"/>
      </w:pPr>
      <w:r w:rsidRPr="00A62549">
        <w:rPr>
          <w:rStyle w:val="FootnoteReference"/>
        </w:rPr>
        <w:footnoteRef/>
      </w:r>
      <w:r w:rsidRPr="00A62549">
        <w:t xml:space="preserve"> </w:t>
      </w:r>
      <w:r>
        <w:t xml:space="preserve">t.sk., </w:t>
      </w:r>
      <w:r w:rsidRPr="0077599B">
        <w:t>Eiropas Parlamenta un Padomes 2018.gada 18.jūlija regula</w:t>
      </w:r>
      <w:r w:rsidR="008D339D">
        <w:t>s</w:t>
      </w:r>
      <w:r w:rsidRPr="0077599B">
        <w:t xml:space="preserve"> (ES, Euratom) </w:t>
      </w:r>
      <w:hyperlink r:id="rId3" w:history="1">
        <w:r w:rsidRPr="0077599B">
          <w:rPr>
            <w:rStyle w:val="Hyperlink"/>
          </w:rPr>
          <w:t>2018/1046</w:t>
        </w:r>
      </w:hyperlink>
      <w:r w:rsidRPr="0077599B">
        <w:t xml:space="preserve"> par finanšu noteikumiem, ko piemēro Savienības vispārējam budžetam, ar kuru groza Regulas (ES) Nr.1296/2013, (ES)</w:t>
      </w:r>
      <w:r>
        <w:t xml:space="preserve"> </w:t>
      </w:r>
      <w:r w:rsidRPr="0077599B">
        <w:t>Nr.1301/2013, (ES) Nr.1303/2013, (ES) Nr.1304/2013, (ES) Nr.1309/2013, (ES) Nr.1316/2013, (ES) Nr.223/2014, (ES) Nr.283/2014 un Lēmumu Nr.541/2014/ES un atceļ Regulu (ES, Euratom) Nr.966/2012</w:t>
      </w:r>
      <w:r w:rsidR="008D339D">
        <w:t xml:space="preserve"> 61.pants</w:t>
      </w:r>
      <w:r w:rsidRPr="009153B4">
        <w:t xml:space="preserve">; </w:t>
      </w:r>
      <w:r>
        <w:t xml:space="preserve"> </w:t>
      </w:r>
      <w:r w:rsidRPr="00CD5B78">
        <w:t xml:space="preserve"> </w:t>
      </w:r>
    </w:p>
  </w:footnote>
  <w:footnote w:id="9">
    <w:p w14:paraId="1675FE1B" w14:textId="77777777" w:rsidR="00BC67E8" w:rsidRPr="003F0E9A" w:rsidRDefault="00BC67E8" w:rsidP="003F0E9A">
      <w:pPr>
        <w:pStyle w:val="FootnoteText"/>
        <w:jc w:val="both"/>
        <w:rPr>
          <w:bCs/>
        </w:rPr>
      </w:pPr>
      <w:r>
        <w:rPr>
          <w:rStyle w:val="FootnoteReference"/>
        </w:rPr>
        <w:footnoteRef/>
      </w:r>
      <w:r>
        <w:t xml:space="preserve"> </w:t>
      </w:r>
      <w:r w:rsidRPr="003F0E9A">
        <w:rPr>
          <w:rStyle w:val="Strong"/>
          <w:b w:val="0"/>
        </w:rPr>
        <w:t>KOMISI</w:t>
      </w:r>
      <w:r>
        <w:rPr>
          <w:rStyle w:val="Strong"/>
          <w:b w:val="0"/>
        </w:rPr>
        <w:t>JAS 2014.</w:t>
      </w:r>
      <w:r w:rsidRPr="003F0E9A">
        <w:rPr>
          <w:rStyle w:val="Strong"/>
          <w:b w:val="0"/>
        </w:rPr>
        <w:t>gada 28.jūlij</w:t>
      </w:r>
      <w:r>
        <w:rPr>
          <w:rStyle w:val="Strong"/>
          <w:b w:val="0"/>
        </w:rPr>
        <w:t>a ĪSTENOŠANAS REGULA (ES) Nr.</w:t>
      </w:r>
      <w:r w:rsidRPr="003F0E9A">
        <w:rPr>
          <w:rStyle w:val="Strong"/>
          <w:b w:val="0"/>
        </w:rPr>
        <w:t>821/2014, ar ko paredz noteikumus par to, kā piemērot Eiropas Parlam</w:t>
      </w:r>
      <w:r>
        <w:rPr>
          <w:rStyle w:val="Strong"/>
          <w:b w:val="0"/>
        </w:rPr>
        <w:t>enta un Padomes Regulu (ES) Nr.</w:t>
      </w:r>
      <w:r w:rsidRPr="003F0E9A">
        <w:rPr>
          <w:rStyle w:val="Strong"/>
          <w:b w:val="0"/>
        </w:rPr>
        <w:t>1303/2013 attiecībā uz sīki izstrādātiem noteikumiem par programmas ieguldījumu pārskaitīšanu un pārvaldību, ziņošanu par finanšu instrumentiem, informācijas un komunikācijas pasākumu tehniskajiem rādītājiem, kas attiecas uz darbību, un datu reģistrēšanas un glabāšanas sistēmu</w:t>
      </w:r>
    </w:p>
  </w:footnote>
  <w:footnote w:id="10">
    <w:p w14:paraId="47A208F5" w14:textId="77777777" w:rsidR="00BC67E8" w:rsidRDefault="00BC67E8" w:rsidP="005A1266">
      <w:pPr>
        <w:pStyle w:val="FootnoteText"/>
        <w:jc w:val="both"/>
      </w:pPr>
      <w:r>
        <w:rPr>
          <w:rStyle w:val="FootnoteReference"/>
        </w:rPr>
        <w:footnoteRef/>
      </w:r>
      <w:r>
        <w:t xml:space="preserve"> </w:t>
      </w:r>
      <w:r w:rsidRPr="00AB3D99">
        <w:t>Eirop</w:t>
      </w:r>
      <w:r>
        <w:t>as Savienības fondu 2014.-2020.</w:t>
      </w:r>
      <w:r w:rsidRPr="00AB3D99">
        <w:t xml:space="preserve">gada plānošanas perioda publicitātes vadlīnijas Eiropas Savienības fondu finansējuma saņēmējiem </w:t>
      </w:r>
      <w:r>
        <w:t xml:space="preserve">(Nr.2.4.) </w:t>
      </w:r>
      <w:hyperlink r:id="rId4" w:history="1">
        <w:r w:rsidRPr="007960AD">
          <w:rPr>
            <w:rStyle w:val="Hyperlink"/>
          </w:rPr>
          <w:t>http://www.esfondi.lv/page.php?id=1196</w:t>
        </w:r>
      </w:hyperlink>
      <w:r>
        <w:t xml:space="preserve"> </w:t>
      </w:r>
    </w:p>
  </w:footnote>
  <w:footnote w:id="11">
    <w:p w14:paraId="2BE2DCD6" w14:textId="3937F4ED" w:rsidR="00BC67E8" w:rsidRDefault="00BC67E8" w:rsidP="005A1266">
      <w:pPr>
        <w:pStyle w:val="FootnoteText"/>
      </w:pPr>
      <w:r>
        <w:rPr>
          <w:rStyle w:val="FootnoteReference"/>
        </w:rPr>
        <w:footnoteRef/>
      </w:r>
      <w:r>
        <w:t xml:space="preserve"> Sadaļa par iepirkumiem izveidota saskaņā ar EK 19.12.2013 vadlīnijām. Plašāka informācija pieejama šeit: </w:t>
      </w:r>
      <w:r w:rsidRPr="006B0F0B">
        <w:t>http://ec.europa.eu/regional_policy/sources/docoffic/cocof/2013/cocof_13_9527_annexe_lv.pdf</w:t>
      </w:r>
      <w:r w:rsidDel="006B0F0B">
        <w:t xml:space="preserve"> </w:t>
      </w:r>
    </w:p>
  </w:footnote>
  <w:footnote w:id="12">
    <w:p w14:paraId="393EB7F6" w14:textId="77777777" w:rsidR="00BC67E8" w:rsidRDefault="00BC67E8" w:rsidP="007D223D">
      <w:pPr>
        <w:pStyle w:val="FootnoteText"/>
        <w:jc w:val="both"/>
      </w:pPr>
      <w:r>
        <w:rPr>
          <w:rStyle w:val="FootnoteReference"/>
        </w:rPr>
        <w:footnoteRef/>
      </w:r>
      <w:r>
        <w:t xml:space="preserve"> Pieejams internetā. </w:t>
      </w:r>
      <w:r w:rsidRPr="007D223D">
        <w:rPr>
          <w:bCs/>
          <w:i/>
        </w:rPr>
        <w:t>Komisijas skaidrojošais paziņojums par Kopienas tiesību aktiem, ko piemēro līguma slēgšanas tiesību piešķiršanā, uz ko neattiecas vai tikai daļēji attiecas publiskā iepirkuma direktīvu noteikumi</w:t>
      </w:r>
      <w:r>
        <w:rPr>
          <w:bCs/>
        </w:rPr>
        <w:t xml:space="preserve">: </w:t>
      </w:r>
      <w:hyperlink r:id="rId5" w:history="1">
        <w:r w:rsidRPr="003961F1">
          <w:rPr>
            <w:rStyle w:val="Hyperlink"/>
            <w:bCs/>
          </w:rPr>
          <w:t>https://eur-lex.europa.eu/legal-content/LV/TXT/PDF/?uri=CELEX:52006XC0801(01)&amp;from=LV</w:t>
        </w:r>
      </w:hyperlink>
      <w:r>
        <w:rPr>
          <w:bCs/>
        </w:rPr>
        <w:t xml:space="preserve"> </w:t>
      </w:r>
    </w:p>
  </w:footnote>
  <w:footnote w:id="13">
    <w:p w14:paraId="36243761" w14:textId="0362E2E8" w:rsidR="00BC67E8" w:rsidRDefault="00BC67E8" w:rsidP="006B0F0B">
      <w:pPr>
        <w:autoSpaceDE w:val="0"/>
        <w:autoSpaceDN w:val="0"/>
        <w:adjustRightInd w:val="0"/>
        <w:jc w:val="both"/>
        <w:rPr>
          <w:sz w:val="20"/>
          <w:szCs w:val="20"/>
        </w:rPr>
      </w:pPr>
      <w:r>
        <w:rPr>
          <w:rStyle w:val="FootnoteReference"/>
        </w:rPr>
        <w:footnoteRef/>
      </w:r>
      <w:r>
        <w:t xml:space="preserve"> </w:t>
      </w:r>
      <w:r w:rsidRPr="006B0F0B">
        <w:rPr>
          <w:rFonts w:ascii="TimesNewRoman,Bold" w:hAnsi="TimesNewRoman,Bold" w:cs="TimesNewRoman,Bold"/>
          <w:bCs/>
          <w:sz w:val="20"/>
          <w:szCs w:val="20"/>
        </w:rPr>
        <w:t>Pamatnostādnes</w:t>
      </w:r>
      <w:r>
        <w:rPr>
          <w:rFonts w:ascii="TimesNewRoman,Bold" w:hAnsi="TimesNewRoman,Bold" w:cs="TimesNewRoman,Bold"/>
          <w:bCs/>
          <w:sz w:val="20"/>
          <w:szCs w:val="20"/>
        </w:rPr>
        <w:t xml:space="preserve"> </w:t>
      </w:r>
      <w:r w:rsidRPr="006B0F0B">
        <w:rPr>
          <w:rFonts w:ascii="TimesNewRoman,Bold" w:hAnsi="TimesNewRoman,Bold" w:cs="TimesNewRoman,Bold"/>
          <w:bCs/>
          <w:sz w:val="20"/>
          <w:szCs w:val="20"/>
        </w:rPr>
        <w:t>par tādu finanšu korekciju noteikšanu, kuras publiskā iepirkuma noteikumu neievērošanas gadījumā veic attiecībā uz izdevumiem, ko finansē Savienība saskaņā ar dalīto pārvaldību</w:t>
      </w:r>
      <w:r>
        <w:rPr>
          <w:sz w:val="20"/>
          <w:szCs w:val="20"/>
        </w:rPr>
        <w:t>:</w:t>
      </w:r>
    </w:p>
    <w:p w14:paraId="266D4401" w14:textId="77777777" w:rsidR="00BC67E8" w:rsidRDefault="00BC67E8" w:rsidP="006B0F0B">
      <w:pPr>
        <w:autoSpaceDE w:val="0"/>
        <w:autoSpaceDN w:val="0"/>
        <w:adjustRightInd w:val="0"/>
        <w:jc w:val="both"/>
      </w:pPr>
      <w:r w:rsidRPr="006B0F0B">
        <w:rPr>
          <w:sz w:val="20"/>
          <w:szCs w:val="20"/>
        </w:rPr>
        <w:t>http://ec.europa.eu/regional_policy/sources/docoffic/cocof/2013/cocof_13_9527_annexe_lv.pdf</w:t>
      </w:r>
    </w:p>
  </w:footnote>
  <w:footnote w:id="14">
    <w:p w14:paraId="48D6A3F1" w14:textId="6973AA32" w:rsidR="00BC67E8" w:rsidRDefault="00BC67E8">
      <w:pPr>
        <w:pStyle w:val="FootnoteText"/>
      </w:pPr>
      <w:r>
        <w:rPr>
          <w:rStyle w:val="FootnoteReference"/>
        </w:rPr>
        <w:footnoteRef/>
      </w:r>
      <w:r>
        <w:t xml:space="preserve"> </w:t>
      </w:r>
      <w:r w:rsidRPr="0002263D">
        <w:t xml:space="preserve">Lai iegūtu sīkāku informāciju par šiem standartiem, </w:t>
      </w:r>
      <w:r w:rsidRPr="004C5D3D">
        <w:t xml:space="preserve">skatīt </w:t>
      </w:r>
      <w:hyperlink r:id="rId6" w:history="1">
        <w:r w:rsidRPr="004C5D3D">
          <w:rPr>
            <w:rStyle w:val="Hyperlink"/>
            <w:i/>
          </w:rPr>
          <w:t>Komisijas skaidrojošā  dokumenta n ° 2006 / C 179/02</w:t>
        </w:r>
      </w:hyperlink>
      <w:r w:rsidRPr="004C5D3D">
        <w:rPr>
          <w:i/>
        </w:rPr>
        <w:t xml:space="preserve"> 2.1 nodaļu</w:t>
      </w:r>
      <w:r w:rsidRPr="004C5D3D">
        <w:t xml:space="preserve"> </w:t>
      </w:r>
    </w:p>
  </w:footnote>
  <w:footnote w:id="15">
    <w:p w14:paraId="0CFDB055" w14:textId="1D9D5578" w:rsidR="00BC67E8" w:rsidRDefault="00BC67E8" w:rsidP="00FF3BE8">
      <w:pPr>
        <w:pStyle w:val="FootnoteText"/>
      </w:pPr>
      <w:r>
        <w:rPr>
          <w:rStyle w:val="FootnoteReference"/>
        </w:rPr>
        <w:footnoteRef/>
      </w:r>
      <w:r>
        <w:t xml:space="preserve"> </w:t>
      </w:r>
      <w:r w:rsidRPr="0002263D">
        <w:t xml:space="preserve">Lai iegūtu sīkāku informāciju par šiem standartiem, skatīt </w:t>
      </w:r>
      <w:hyperlink r:id="rId7" w:history="1">
        <w:r w:rsidRPr="004C5D3D">
          <w:rPr>
            <w:rStyle w:val="Hyperlink"/>
            <w:i/>
          </w:rPr>
          <w:t>Komisijas skaidrojošā  dokumenta n ° 2006 / C 179/02</w:t>
        </w:r>
      </w:hyperlink>
      <w:r>
        <w:rPr>
          <w:rStyle w:val="Hyperlink"/>
          <w:i/>
        </w:rPr>
        <w:t xml:space="preserve"> </w:t>
      </w:r>
      <w:r w:rsidRPr="0002263D">
        <w:t>2.1 nodaļu</w:t>
      </w:r>
    </w:p>
  </w:footnote>
  <w:footnote w:id="16">
    <w:p w14:paraId="44FA607A" w14:textId="77777777" w:rsidR="00022C7A" w:rsidRDefault="00022C7A" w:rsidP="00022C7A">
      <w:pPr>
        <w:pStyle w:val="FootnoteText"/>
      </w:pPr>
      <w:r>
        <w:rPr>
          <w:rStyle w:val="FootnoteReference"/>
        </w:rPr>
        <w:footnoteRef/>
      </w:r>
      <w:r>
        <w:t xml:space="preserve"> Ja iepirkuma dokumentācijā nav atrunāts, kā finanšu rezerve tiks izmantota, nevar noteikt, ka tā ir iekļaujama pretendenta finanšu piedāvājumā, vienlaikus finanšu rezervi var  iekļaut pasūtītāja paredzamās līgumcenas koptāmē (sk. arī IUB skaidrojuma </w:t>
      </w:r>
      <w:hyperlink r:id="rId8" w:history="1">
        <w:r w:rsidRPr="00412517">
          <w:rPr>
            <w:rStyle w:val="Hyperlink"/>
          </w:rPr>
          <w:t>https://www.iub.gov.lv/sites/default/files/07.09.18_Biezak_konstat_kludas%202018_gala_m-lapai.pdf</w:t>
        </w:r>
      </w:hyperlink>
      <w:r>
        <w:t xml:space="preserve">  43. punktu).</w:t>
      </w:r>
    </w:p>
  </w:footnote>
  <w:footnote w:id="17">
    <w:p w14:paraId="043749E4" w14:textId="235BFB84" w:rsidR="00022C7A" w:rsidRDefault="00022C7A">
      <w:pPr>
        <w:pStyle w:val="FootnoteText"/>
      </w:pPr>
      <w:r>
        <w:rPr>
          <w:rStyle w:val="FootnoteReference"/>
        </w:rPr>
        <w:footnoteRef/>
      </w:r>
      <w:r>
        <w:t xml:space="preserve"> IUB skaidrojuma </w:t>
      </w:r>
      <w:hyperlink r:id="rId9" w:history="1">
        <w:r w:rsidRPr="00412517">
          <w:rPr>
            <w:rStyle w:val="Hyperlink"/>
          </w:rPr>
          <w:t>https://www.iub.gov.lv/sites/default/files/07.09.18_Biezak_konstat_kludas%202018_gala_m-lapai.pdf</w:t>
        </w:r>
      </w:hyperlink>
      <w:r>
        <w:t xml:space="preserve">  45.punktā ir noteikts, ka konkrētu cenu veidojošo faktoru ierobežojums varētu tikt atzīts par pamatotu izņēmuma gadījumos, piemēram, ja MK Ministru kabineta noteikumi par attiecīgo darbības programmas specifisko atbalsta mērķi uzliek šādu ierobežojumu attiecībā uz izdevumu attiecināšanu noteiktā apmērā.</w:t>
      </w:r>
    </w:p>
  </w:footnote>
  <w:footnote w:id="18">
    <w:p w14:paraId="1C6B605D" w14:textId="4BE8B5FA" w:rsidR="006A721B" w:rsidRPr="00356537" w:rsidRDefault="006A721B" w:rsidP="00BE47CC">
      <w:pPr>
        <w:pStyle w:val="ListParagraph"/>
        <w:ind w:left="0"/>
        <w:contextualSpacing w:val="0"/>
        <w:jc w:val="both"/>
        <w:rPr>
          <w:sz w:val="20"/>
          <w:szCs w:val="20"/>
          <w:highlight w:val="yellow"/>
        </w:rPr>
      </w:pPr>
      <w:r>
        <w:rPr>
          <w:rStyle w:val="FootnoteReference"/>
        </w:rPr>
        <w:footnoteRef/>
      </w:r>
      <w:r>
        <w:t xml:space="preserve">  </w:t>
      </w:r>
      <w:r w:rsidRPr="004B63B0">
        <w:rPr>
          <w:sz w:val="20"/>
          <w:szCs w:val="20"/>
        </w:rPr>
        <w:t xml:space="preserve">Skatīt arī </w:t>
      </w:r>
      <w:r w:rsidRPr="004B63B0">
        <w:rPr>
          <w:rStyle w:val="Hyperlink"/>
          <w:color w:val="auto"/>
          <w:sz w:val="20"/>
          <w:szCs w:val="20"/>
          <w:u w:val="none"/>
        </w:rPr>
        <w:t>EK vadlīnijas par interešu konflikta identif</w:t>
      </w:r>
      <w:r w:rsidR="00356537">
        <w:rPr>
          <w:rStyle w:val="Hyperlink"/>
          <w:color w:val="auto"/>
          <w:sz w:val="20"/>
          <w:szCs w:val="20"/>
          <w:u w:val="none"/>
        </w:rPr>
        <w:t>icēšanu publiskajos iepirkumos</w:t>
      </w:r>
      <w:r w:rsidRPr="004B63B0">
        <w:rPr>
          <w:rStyle w:val="Hyperlink"/>
          <w:color w:val="auto"/>
          <w:sz w:val="20"/>
          <w:szCs w:val="20"/>
          <w:u w:val="none"/>
        </w:rPr>
        <w:t xml:space="preserve">: </w:t>
      </w:r>
      <w:hyperlink r:id="rId10" w:history="1">
        <w:r w:rsidR="00356537" w:rsidRPr="00356537">
          <w:rPr>
            <w:rStyle w:val="Hyperlink"/>
            <w:sz w:val="20"/>
            <w:szCs w:val="20"/>
          </w:rPr>
          <w:t>https://ec.europa.eu/sfc/sites/sfc2014/files/sfc-files/guide-conflict-of-interests-LV.pdf</w:t>
        </w:r>
      </w:hyperlink>
      <w:r w:rsidR="00356537">
        <w:rPr>
          <w:rStyle w:val="Hyperlink"/>
          <w:color w:val="auto"/>
          <w:sz w:val="20"/>
          <w:szCs w:val="20"/>
          <w:u w:val="none"/>
        </w:rPr>
        <w:t xml:space="preserve"> </w:t>
      </w:r>
      <w:r w:rsidR="00356537" w:rsidRPr="00356537">
        <w:rPr>
          <w:rStyle w:val="Hyperlink"/>
          <w:color w:val="auto"/>
          <w:sz w:val="20"/>
          <w:szCs w:val="20"/>
          <w:u w:val="none"/>
        </w:rPr>
        <w:t>un</w:t>
      </w:r>
      <w:r w:rsidR="00356537" w:rsidRPr="00356537">
        <w:rPr>
          <w:rStyle w:val="Hyperlink"/>
          <w:sz w:val="20"/>
          <w:szCs w:val="20"/>
        </w:rPr>
        <w:t xml:space="preserve"> </w:t>
      </w:r>
      <w:hyperlink r:id="rId11" w:history="1">
        <w:r w:rsidR="00356537" w:rsidRPr="00356537">
          <w:rPr>
            <w:rStyle w:val="Hyperlink"/>
            <w:sz w:val="20"/>
            <w:szCs w:val="20"/>
          </w:rPr>
          <w:t xml:space="preserve">Ministru kabineta 28.02.2017. </w:t>
        </w:r>
        <w:r w:rsidR="008D339D" w:rsidRPr="00356537">
          <w:rPr>
            <w:rStyle w:val="Hyperlink"/>
            <w:sz w:val="20"/>
            <w:szCs w:val="20"/>
          </w:rPr>
          <w:t>noteikum</w:t>
        </w:r>
        <w:r w:rsidR="00356537" w:rsidRPr="00356537">
          <w:rPr>
            <w:rStyle w:val="Hyperlink"/>
            <w:sz w:val="20"/>
            <w:szCs w:val="20"/>
          </w:rPr>
          <w:t>i</w:t>
        </w:r>
        <w:r w:rsidR="008D339D" w:rsidRPr="00356537">
          <w:rPr>
            <w:rStyle w:val="Hyperlink"/>
            <w:sz w:val="20"/>
            <w:szCs w:val="20"/>
          </w:rPr>
          <w:t xml:space="preserve"> Nr.</w:t>
        </w:r>
        <w:r w:rsidR="00356537" w:rsidRPr="00356537">
          <w:rPr>
            <w:rStyle w:val="Hyperlink"/>
            <w:sz w:val="20"/>
            <w:szCs w:val="20"/>
          </w:rPr>
          <w:t>104</w:t>
        </w:r>
        <w:r w:rsidR="008D339D" w:rsidRPr="00356537">
          <w:rPr>
            <w:rStyle w:val="Hyperlink"/>
            <w:sz w:val="20"/>
            <w:szCs w:val="20"/>
          </w:rPr>
          <w:t xml:space="preserve"> „</w:t>
        </w:r>
        <w:r w:rsidR="00356537" w:rsidRPr="00356537">
          <w:rPr>
            <w:rStyle w:val="Hyperlink"/>
            <w:sz w:val="20"/>
            <w:szCs w:val="20"/>
          </w:rPr>
          <w:t xml:space="preserve"> Noteikumi par iepirkuma procedūru un tās piemērošanas kārtību pasūtītāja finansētiem projektiem</w:t>
        </w:r>
        <w:r w:rsidR="008D339D" w:rsidRPr="00356537">
          <w:rPr>
            <w:rStyle w:val="Hyperlink"/>
            <w:sz w:val="20"/>
            <w:szCs w:val="20"/>
          </w:rPr>
          <w:t>”</w:t>
        </w:r>
      </w:hyperlink>
    </w:p>
  </w:footnote>
  <w:footnote w:id="19">
    <w:p w14:paraId="3C79FEBA" w14:textId="77777777" w:rsidR="006A721B" w:rsidRDefault="006A721B" w:rsidP="00F7216F">
      <w:pPr>
        <w:autoSpaceDE w:val="0"/>
        <w:autoSpaceDN w:val="0"/>
        <w:adjustRightInd w:val="0"/>
      </w:pPr>
      <w:r>
        <w:rPr>
          <w:rStyle w:val="FootnoteReference"/>
        </w:rPr>
        <w:footnoteRef/>
      </w:r>
      <w:r>
        <w:t xml:space="preserve"> </w:t>
      </w:r>
      <w:r w:rsidRPr="008A64C5">
        <w:rPr>
          <w:sz w:val="20"/>
          <w:szCs w:val="20"/>
        </w:rPr>
        <w:t xml:space="preserve">Skatīt jo īpaši </w:t>
      </w:r>
      <w:r w:rsidRPr="008A64C5">
        <w:rPr>
          <w:rFonts w:eastAsia="Verdana,Italic"/>
          <w:i/>
          <w:iCs/>
          <w:sz w:val="20"/>
          <w:szCs w:val="20"/>
        </w:rPr>
        <w:t xml:space="preserve">CJEU </w:t>
      </w:r>
      <w:r w:rsidRPr="008A64C5">
        <w:rPr>
          <w:sz w:val="20"/>
          <w:szCs w:val="20"/>
        </w:rPr>
        <w:t xml:space="preserve">T-277/97, 1999. gada 15. jūnijs, un C-315/99, 2001. gada 10. jūlijs, </w:t>
      </w:r>
      <w:r w:rsidRPr="008A64C5">
        <w:rPr>
          <w:rFonts w:eastAsia="Verdana,Italic"/>
          <w:i/>
          <w:iCs/>
          <w:sz w:val="20"/>
          <w:szCs w:val="20"/>
        </w:rPr>
        <w:t>Ismeri Europa Srl</w:t>
      </w:r>
      <w:r w:rsidRPr="008A64C5">
        <w:rPr>
          <w:sz w:val="20"/>
          <w:szCs w:val="20"/>
        </w:rPr>
        <w:t xml:space="preserve">, T-160/03, 2005. gada 17. marts, </w:t>
      </w:r>
      <w:r w:rsidRPr="008A64C5">
        <w:rPr>
          <w:rFonts w:eastAsia="Verdana,Italic"/>
          <w:i/>
          <w:iCs/>
          <w:sz w:val="20"/>
          <w:szCs w:val="20"/>
        </w:rPr>
        <w:t>AFCon Management Consultants, Mc Mullin, O’Grady</w:t>
      </w:r>
    </w:p>
  </w:footnote>
  <w:footnote w:id="20">
    <w:p w14:paraId="2F2DF0A6" w14:textId="77777777" w:rsidR="006A721B" w:rsidRDefault="006A721B" w:rsidP="00AA20C5">
      <w:pPr>
        <w:autoSpaceDE w:val="0"/>
        <w:autoSpaceDN w:val="0"/>
        <w:adjustRightInd w:val="0"/>
        <w:jc w:val="both"/>
      </w:pPr>
      <w:r>
        <w:rPr>
          <w:rStyle w:val="FootnoteReference"/>
        </w:rPr>
        <w:footnoteRef/>
      </w:r>
      <w:r>
        <w:t xml:space="preserve"> </w:t>
      </w:r>
      <w:r w:rsidRPr="004251C6">
        <w:rPr>
          <w:bCs/>
          <w:sz w:val="20"/>
          <w:szCs w:val="20"/>
        </w:rPr>
        <w:t xml:space="preserve">Interešu konfliktu identificēšana publiskā iepirkuma procedūrās strukturālu darbību veikšanai </w:t>
      </w:r>
      <w:r w:rsidRPr="004251C6">
        <w:rPr>
          <w:bCs/>
          <w:i/>
          <w:iCs/>
          <w:sz w:val="20"/>
          <w:szCs w:val="20"/>
        </w:rPr>
        <w:t>Praktiska rokasgrāmata vadītājiem, kuru izstrādājusi dalībvalstu ekspertu grupa OLAF D2 nodaļas – Krāpšanas novēršana – vadībā</w:t>
      </w:r>
      <w:r>
        <w:rPr>
          <w:bCs/>
          <w:i/>
          <w:iCs/>
          <w:sz w:val="20"/>
          <w:szCs w:val="20"/>
        </w:rPr>
        <w:t xml:space="preserve">: </w:t>
      </w:r>
      <w:hyperlink r:id="rId12" w:history="1">
        <w:r w:rsidRPr="000E6503">
          <w:rPr>
            <w:rStyle w:val="Hyperlink"/>
            <w:bCs/>
            <w:i/>
            <w:iCs/>
            <w:sz w:val="20"/>
            <w:szCs w:val="20"/>
          </w:rPr>
          <w:t>https://ec.europa.eu/sfc/sites/sfc2014/files/sfc-files/guide-conflict-of-interests-LV.pdf</w:t>
        </w:r>
      </w:hyperlink>
      <w:r>
        <w:rPr>
          <w:bCs/>
          <w:i/>
          <w:iCs/>
          <w:sz w:val="20"/>
          <w:szCs w:val="20"/>
        </w:rPr>
        <w:t xml:space="preserve"> </w:t>
      </w:r>
    </w:p>
  </w:footnote>
  <w:footnote w:id="21">
    <w:p w14:paraId="75A1FFCE" w14:textId="77777777" w:rsidR="006A721B" w:rsidRDefault="006A721B" w:rsidP="00F65C29">
      <w:pPr>
        <w:pStyle w:val="FootnoteText"/>
        <w:jc w:val="both"/>
      </w:pPr>
      <w:r>
        <w:rPr>
          <w:rStyle w:val="FootnoteReference"/>
        </w:rPr>
        <w:footnoteRef/>
      </w:r>
      <w:r>
        <w:t xml:space="preserve"> Nosakot finanšu korekcijas apmēru un vērtējot neatbilstības būtiskumu, ņem vērā vismaz šādus aspektus: neatbilstības būtība un apstākļi (piemēram, vai neatbilstība izdarīta atkārtoti), ietekme uz ES un nacionālo budžetu, neatbilstības sekas (piemēram, ja nebūtu izdarīts pārkāpums, būtu cits rezultāts) un ietekme (piemēram, neatbilstība skar vairākus iesaistītos), savukārt attiecībā uz iepirkumu pārkāpumiem vērtē arī ietekmi uz konkurenci, caurspīdīguma principa ievērošanas līmeni un vienlīdzīgas attieksmes ievērošanas pakāpi. </w:t>
      </w:r>
      <w:r w:rsidRPr="008E1B1F">
        <w:t>Skaidrojums attiecināms arī uz šo vadlīniju 5.pielikuma 36.-38.punktu.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92A2" w14:textId="77777777" w:rsidR="00BC67E8" w:rsidRDefault="00BC67E8" w:rsidP="00BC13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1FB2C" w14:textId="77777777" w:rsidR="00BC67E8" w:rsidRDefault="00BC6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891"/>
      <w:gridCol w:w="1446"/>
      <w:gridCol w:w="2126"/>
      <w:gridCol w:w="2268"/>
    </w:tblGrid>
    <w:tr w:rsidR="00BC67E8" w:rsidRPr="0058714B" w14:paraId="2D0528C3" w14:textId="77777777" w:rsidTr="00545496">
      <w:trPr>
        <w:trHeight w:val="889"/>
        <w:jc w:val="center"/>
      </w:trPr>
      <w:tc>
        <w:tcPr>
          <w:tcW w:w="4390" w:type="dxa"/>
        </w:tcPr>
        <w:p w14:paraId="17D34018" w14:textId="77777777" w:rsidR="00BC67E8" w:rsidRPr="0058714B" w:rsidRDefault="00BC67E8" w:rsidP="00DD7534">
          <w:pPr>
            <w:tabs>
              <w:tab w:val="center" w:pos="4153"/>
              <w:tab w:val="right" w:pos="8306"/>
            </w:tabs>
            <w:ind w:right="360"/>
            <w:jc w:val="both"/>
            <w:rPr>
              <w:rFonts w:eastAsia="Calibri"/>
              <w:sz w:val="18"/>
              <w:szCs w:val="22"/>
              <w:lang w:eastAsia="en-US"/>
            </w:rPr>
          </w:pPr>
          <w:r w:rsidRPr="0058714B">
            <w:rPr>
              <w:rFonts w:eastAsia="Calibri"/>
              <w:sz w:val="18"/>
              <w:szCs w:val="22"/>
              <w:lang w:eastAsia="en-US"/>
            </w:rPr>
            <w:t>Iestāde:</w:t>
          </w:r>
          <w:r w:rsidRPr="0058714B">
            <w:rPr>
              <w:rFonts w:eastAsia="Calibri"/>
              <w:b/>
              <w:bCs/>
              <w:sz w:val="18"/>
              <w:szCs w:val="22"/>
              <w:lang w:eastAsia="en-US"/>
            </w:rPr>
            <w:t xml:space="preserve"> Finanšu ministrija</w:t>
          </w:r>
        </w:p>
        <w:p w14:paraId="1E4E8BD2" w14:textId="77777777" w:rsidR="00BC67E8" w:rsidRPr="0058714B" w:rsidRDefault="00BC67E8" w:rsidP="00DD7534">
          <w:pPr>
            <w:tabs>
              <w:tab w:val="center" w:pos="4153"/>
              <w:tab w:val="right" w:pos="8306"/>
            </w:tabs>
            <w:jc w:val="both"/>
            <w:rPr>
              <w:rFonts w:eastAsia="Calibri"/>
              <w:b/>
              <w:bCs/>
              <w:sz w:val="18"/>
              <w:szCs w:val="22"/>
              <w:lang w:eastAsia="en-US"/>
            </w:rPr>
          </w:pPr>
          <w:r w:rsidRPr="0058714B">
            <w:rPr>
              <w:rFonts w:eastAsia="Calibri"/>
              <w:sz w:val="18"/>
              <w:szCs w:val="22"/>
              <w:lang w:eastAsia="en-US"/>
            </w:rPr>
            <w:t>Struktūrvienība:</w:t>
          </w:r>
          <w:r w:rsidRPr="0058714B">
            <w:rPr>
              <w:rFonts w:eastAsia="Calibri"/>
              <w:b/>
              <w:bCs/>
              <w:sz w:val="18"/>
              <w:szCs w:val="22"/>
              <w:lang w:eastAsia="en-US"/>
            </w:rPr>
            <w:t xml:space="preserve"> </w:t>
          </w:r>
        </w:p>
        <w:p w14:paraId="4656CC7C" w14:textId="77777777" w:rsidR="00BC67E8" w:rsidRPr="0058714B" w:rsidRDefault="00BC67E8" w:rsidP="00CD5912">
          <w:pPr>
            <w:tabs>
              <w:tab w:val="center" w:pos="4153"/>
              <w:tab w:val="right" w:pos="8306"/>
            </w:tabs>
            <w:jc w:val="both"/>
            <w:rPr>
              <w:rFonts w:eastAsia="Calibri"/>
              <w:b/>
              <w:bCs/>
              <w:sz w:val="18"/>
              <w:szCs w:val="22"/>
              <w:lang w:eastAsia="en-US"/>
            </w:rPr>
          </w:pPr>
          <w:r w:rsidRPr="0058714B">
            <w:rPr>
              <w:rFonts w:eastAsia="Calibri"/>
              <w:b/>
              <w:bCs/>
              <w:sz w:val="18"/>
              <w:szCs w:val="22"/>
              <w:lang w:eastAsia="en-US"/>
            </w:rPr>
            <w:t xml:space="preserve">Eiropas Savienības fondu </w:t>
          </w:r>
          <w:r>
            <w:rPr>
              <w:rFonts w:eastAsia="Calibri"/>
              <w:b/>
              <w:bCs/>
              <w:sz w:val="18"/>
              <w:szCs w:val="22"/>
              <w:lang w:eastAsia="en-US"/>
            </w:rPr>
            <w:t xml:space="preserve">sistēmas </w:t>
          </w:r>
          <w:r w:rsidRPr="0058714B">
            <w:rPr>
              <w:rFonts w:eastAsia="Calibri"/>
              <w:b/>
              <w:bCs/>
              <w:sz w:val="18"/>
              <w:szCs w:val="22"/>
              <w:lang w:eastAsia="en-US"/>
            </w:rPr>
            <w:t>vadības departaments</w:t>
          </w:r>
        </w:p>
      </w:tc>
      <w:tc>
        <w:tcPr>
          <w:tcW w:w="3891" w:type="dxa"/>
        </w:tcPr>
        <w:p w14:paraId="0AEF78AF" w14:textId="77777777" w:rsidR="00BC67E8" w:rsidRPr="0058714B" w:rsidRDefault="00BC67E8" w:rsidP="00DD7534">
          <w:pPr>
            <w:tabs>
              <w:tab w:val="center" w:pos="4153"/>
              <w:tab w:val="right" w:pos="8306"/>
            </w:tabs>
            <w:rPr>
              <w:rFonts w:eastAsia="Calibri"/>
              <w:sz w:val="18"/>
              <w:szCs w:val="22"/>
              <w:lang w:eastAsia="en-US"/>
            </w:rPr>
          </w:pPr>
        </w:p>
      </w:tc>
      <w:tc>
        <w:tcPr>
          <w:tcW w:w="5840" w:type="dxa"/>
          <w:gridSpan w:val="3"/>
        </w:tcPr>
        <w:p w14:paraId="1FF57791" w14:textId="77777777" w:rsidR="00BC67E8" w:rsidRPr="0058714B" w:rsidRDefault="00BC67E8" w:rsidP="00DD7534">
          <w:pPr>
            <w:tabs>
              <w:tab w:val="center" w:pos="4153"/>
              <w:tab w:val="right" w:pos="8306"/>
            </w:tabs>
            <w:rPr>
              <w:rFonts w:eastAsia="Calibri"/>
              <w:sz w:val="18"/>
              <w:szCs w:val="22"/>
              <w:lang w:eastAsia="en-US"/>
            </w:rPr>
          </w:pPr>
          <w:r w:rsidRPr="0058714B">
            <w:rPr>
              <w:rFonts w:eastAsia="Calibri"/>
              <w:sz w:val="18"/>
              <w:szCs w:val="22"/>
              <w:lang w:eastAsia="en-US"/>
            </w:rPr>
            <w:t>Dokumenta nosaukums:</w:t>
          </w:r>
        </w:p>
        <w:p w14:paraId="26F8ACAD" w14:textId="482121CE" w:rsidR="00BC67E8" w:rsidRPr="0058714B" w:rsidRDefault="00BC67E8" w:rsidP="00527A7D">
          <w:pPr>
            <w:tabs>
              <w:tab w:val="center" w:pos="4153"/>
              <w:tab w:val="right" w:pos="8306"/>
            </w:tabs>
            <w:jc w:val="both"/>
            <w:rPr>
              <w:rFonts w:eastAsia="Calibri"/>
              <w:b/>
              <w:sz w:val="18"/>
              <w:szCs w:val="20"/>
              <w:lang w:eastAsia="en-US"/>
            </w:rPr>
          </w:pPr>
          <w:r w:rsidRPr="00527A7D">
            <w:rPr>
              <w:rFonts w:eastAsia="Calibri"/>
              <w:b/>
              <w:bCs/>
              <w:sz w:val="18"/>
              <w:szCs w:val="22"/>
              <w:lang w:eastAsia="en-US"/>
            </w:rPr>
            <w:t>Vadlīnijas par finanšu korekciju piemērošanu, ziņošanu par Eiropas Savienības fondu ieviešanā konstatētajām neatbilstībām, neatbilstoši veikto izdevumu atgūšanu 2014.-2020.gada plānošanas periodā</w:t>
          </w:r>
        </w:p>
      </w:tc>
    </w:tr>
    <w:tr w:rsidR="00BC67E8" w:rsidRPr="0058714B" w14:paraId="744B13F9" w14:textId="77777777" w:rsidTr="00947A8D">
      <w:trPr>
        <w:trHeight w:val="934"/>
        <w:jc w:val="center"/>
      </w:trPr>
      <w:tc>
        <w:tcPr>
          <w:tcW w:w="4390" w:type="dxa"/>
          <w:tcBorders>
            <w:top w:val="single" w:sz="2" w:space="0" w:color="auto"/>
            <w:bottom w:val="single" w:sz="12" w:space="0" w:color="auto"/>
          </w:tcBorders>
        </w:tcPr>
        <w:p w14:paraId="39F9985B" w14:textId="77777777" w:rsidR="00BC67E8" w:rsidRPr="0058714B" w:rsidRDefault="00BC67E8" w:rsidP="00DD7534">
          <w:pPr>
            <w:tabs>
              <w:tab w:val="center" w:pos="4153"/>
              <w:tab w:val="right" w:pos="8306"/>
            </w:tabs>
            <w:rPr>
              <w:rFonts w:eastAsia="Calibri"/>
              <w:b/>
              <w:bCs/>
              <w:sz w:val="18"/>
              <w:szCs w:val="22"/>
              <w:lang w:eastAsia="en-US"/>
            </w:rPr>
          </w:pPr>
          <w:r w:rsidRPr="0058714B">
            <w:rPr>
              <w:rFonts w:eastAsia="Calibri"/>
              <w:sz w:val="18"/>
              <w:szCs w:val="22"/>
              <w:lang w:eastAsia="en-US"/>
            </w:rPr>
            <w:t>Sagatavoja:</w:t>
          </w:r>
          <w:r w:rsidRPr="0058714B">
            <w:rPr>
              <w:rFonts w:eastAsia="Calibri"/>
              <w:b/>
              <w:bCs/>
              <w:sz w:val="18"/>
              <w:szCs w:val="22"/>
              <w:lang w:eastAsia="en-US"/>
            </w:rPr>
            <w:t xml:space="preserve"> </w:t>
          </w:r>
        </w:p>
        <w:p w14:paraId="3756BAE5" w14:textId="77777777" w:rsidR="00BC67E8" w:rsidRPr="0058714B" w:rsidRDefault="00BC67E8" w:rsidP="00DD7534">
          <w:pPr>
            <w:tabs>
              <w:tab w:val="center" w:pos="4153"/>
              <w:tab w:val="right" w:pos="8306"/>
            </w:tabs>
            <w:jc w:val="both"/>
            <w:rPr>
              <w:rFonts w:eastAsia="Calibri"/>
              <w:sz w:val="18"/>
              <w:szCs w:val="22"/>
              <w:lang w:eastAsia="en-US"/>
            </w:rPr>
          </w:pPr>
          <w:r w:rsidRPr="0058714B">
            <w:rPr>
              <w:rFonts w:eastAsia="Calibri"/>
              <w:b/>
              <w:bCs/>
              <w:sz w:val="18"/>
              <w:szCs w:val="22"/>
              <w:lang w:eastAsia="en-US"/>
            </w:rPr>
            <w:t>Eiropas Savienības fondu ieviešanas vadības nodaļa</w:t>
          </w:r>
        </w:p>
      </w:tc>
      <w:tc>
        <w:tcPr>
          <w:tcW w:w="3891" w:type="dxa"/>
          <w:tcBorders>
            <w:top w:val="single" w:sz="2" w:space="0" w:color="auto"/>
            <w:bottom w:val="single" w:sz="12" w:space="0" w:color="auto"/>
          </w:tcBorders>
        </w:tcPr>
        <w:p w14:paraId="154CA2E2" w14:textId="77777777" w:rsidR="00BC67E8" w:rsidRPr="0058714B" w:rsidRDefault="00BC67E8" w:rsidP="00DD7534">
          <w:pPr>
            <w:tabs>
              <w:tab w:val="center" w:pos="4153"/>
              <w:tab w:val="right" w:pos="8306"/>
            </w:tabs>
            <w:rPr>
              <w:rFonts w:eastAsia="Calibri"/>
              <w:b/>
              <w:bCs/>
              <w:sz w:val="18"/>
              <w:szCs w:val="22"/>
              <w:lang w:eastAsia="en-US"/>
            </w:rPr>
          </w:pPr>
          <w:r w:rsidRPr="0058714B">
            <w:rPr>
              <w:rFonts w:eastAsia="Calibri"/>
              <w:sz w:val="18"/>
              <w:szCs w:val="22"/>
              <w:lang w:eastAsia="en-US"/>
            </w:rPr>
            <w:t xml:space="preserve">Apstiprināts: </w:t>
          </w:r>
          <w:r w:rsidRPr="0058714B">
            <w:rPr>
              <w:rFonts w:eastAsia="Calibri"/>
              <w:b/>
              <w:bCs/>
              <w:sz w:val="18"/>
              <w:szCs w:val="22"/>
              <w:lang w:eastAsia="en-US"/>
            </w:rPr>
            <w:t xml:space="preserve"> </w:t>
          </w:r>
        </w:p>
        <w:p w14:paraId="38117AB7" w14:textId="77777777" w:rsidR="00BC67E8" w:rsidRPr="0058714B" w:rsidRDefault="00BC67E8" w:rsidP="00CD5912">
          <w:pPr>
            <w:jc w:val="both"/>
            <w:rPr>
              <w:rFonts w:eastAsia="Calibri"/>
              <w:b/>
              <w:bCs/>
              <w:sz w:val="18"/>
              <w:szCs w:val="22"/>
              <w:lang w:eastAsia="en-US"/>
            </w:rPr>
          </w:pPr>
          <w:r w:rsidRPr="0058714B">
            <w:rPr>
              <w:rFonts w:eastAsia="Calibri"/>
              <w:b/>
              <w:bCs/>
              <w:sz w:val="18"/>
              <w:szCs w:val="22"/>
              <w:lang w:eastAsia="en-US"/>
            </w:rPr>
            <w:t xml:space="preserve">Vadošās iestādes vadītājs A.Eberhards </w:t>
          </w:r>
        </w:p>
        <w:p w14:paraId="119D8451" w14:textId="77777777" w:rsidR="00BC67E8" w:rsidRPr="0058714B" w:rsidRDefault="00BC67E8" w:rsidP="00947A8D">
          <w:pPr>
            <w:tabs>
              <w:tab w:val="center" w:pos="4153"/>
              <w:tab w:val="right" w:pos="8306"/>
            </w:tabs>
            <w:rPr>
              <w:rFonts w:eastAsia="Calibri"/>
              <w:sz w:val="18"/>
              <w:szCs w:val="22"/>
              <w:lang w:eastAsia="en-US"/>
            </w:rPr>
          </w:pPr>
        </w:p>
      </w:tc>
      <w:tc>
        <w:tcPr>
          <w:tcW w:w="1446" w:type="dxa"/>
          <w:tcBorders>
            <w:top w:val="single" w:sz="2" w:space="0" w:color="auto"/>
            <w:bottom w:val="single" w:sz="12" w:space="0" w:color="auto"/>
          </w:tcBorders>
        </w:tcPr>
        <w:p w14:paraId="62E9D5FD" w14:textId="77777777" w:rsidR="00BC67E8" w:rsidRPr="0058714B" w:rsidRDefault="00BC67E8" w:rsidP="00DD7534">
          <w:pPr>
            <w:tabs>
              <w:tab w:val="center" w:pos="4153"/>
              <w:tab w:val="right" w:pos="8306"/>
            </w:tabs>
            <w:jc w:val="both"/>
            <w:rPr>
              <w:rFonts w:eastAsia="Calibri"/>
              <w:sz w:val="18"/>
              <w:szCs w:val="22"/>
              <w:lang w:eastAsia="en-US"/>
            </w:rPr>
          </w:pPr>
          <w:r w:rsidRPr="0058714B">
            <w:rPr>
              <w:rFonts w:eastAsia="Calibri"/>
              <w:sz w:val="18"/>
              <w:szCs w:val="22"/>
              <w:lang w:eastAsia="en-US"/>
            </w:rPr>
            <w:t>Variants:</w:t>
          </w:r>
        </w:p>
        <w:p w14:paraId="3FC33E73" w14:textId="5FA548F1" w:rsidR="00BC67E8" w:rsidRPr="0058714B" w:rsidRDefault="00BC67E8" w:rsidP="00DD7534">
          <w:pPr>
            <w:tabs>
              <w:tab w:val="center" w:pos="4153"/>
              <w:tab w:val="right" w:pos="8306"/>
            </w:tabs>
            <w:jc w:val="center"/>
            <w:rPr>
              <w:rFonts w:eastAsia="Calibri"/>
              <w:sz w:val="18"/>
              <w:szCs w:val="22"/>
              <w:lang w:eastAsia="en-US"/>
            </w:rPr>
          </w:pPr>
          <w:r>
            <w:rPr>
              <w:rFonts w:eastAsia="Calibri"/>
              <w:sz w:val="18"/>
              <w:szCs w:val="22"/>
              <w:lang w:eastAsia="en-US"/>
            </w:rPr>
            <w:t>5</w:t>
          </w:r>
        </w:p>
      </w:tc>
      <w:tc>
        <w:tcPr>
          <w:tcW w:w="2126" w:type="dxa"/>
          <w:tcBorders>
            <w:top w:val="single" w:sz="2" w:space="0" w:color="auto"/>
            <w:bottom w:val="single" w:sz="12" w:space="0" w:color="auto"/>
          </w:tcBorders>
        </w:tcPr>
        <w:p w14:paraId="403F9F10" w14:textId="77777777" w:rsidR="00BC67E8" w:rsidRPr="0058714B" w:rsidRDefault="00BC67E8" w:rsidP="00DD7534">
          <w:pPr>
            <w:tabs>
              <w:tab w:val="center" w:pos="4153"/>
              <w:tab w:val="right" w:pos="8306"/>
            </w:tabs>
            <w:jc w:val="both"/>
            <w:rPr>
              <w:rFonts w:eastAsia="Calibri"/>
              <w:sz w:val="18"/>
              <w:szCs w:val="22"/>
              <w:lang w:eastAsia="en-US"/>
            </w:rPr>
          </w:pPr>
          <w:r w:rsidRPr="0058714B">
            <w:rPr>
              <w:rFonts w:eastAsia="Calibri"/>
              <w:sz w:val="18"/>
              <w:szCs w:val="22"/>
              <w:lang w:eastAsia="en-US"/>
            </w:rPr>
            <w:t>Datums:</w:t>
          </w:r>
        </w:p>
        <w:p w14:paraId="63C6081F" w14:textId="197119E1" w:rsidR="00BC67E8" w:rsidRPr="0058714B" w:rsidRDefault="00D35B57" w:rsidP="00CD5912">
          <w:pPr>
            <w:tabs>
              <w:tab w:val="center" w:pos="4153"/>
              <w:tab w:val="right" w:pos="8306"/>
            </w:tabs>
            <w:jc w:val="center"/>
            <w:rPr>
              <w:rFonts w:eastAsia="Calibri"/>
              <w:sz w:val="18"/>
              <w:szCs w:val="22"/>
              <w:lang w:eastAsia="en-US"/>
            </w:rPr>
          </w:pPr>
          <w:r>
            <w:rPr>
              <w:sz w:val="18"/>
              <w:szCs w:val="18"/>
            </w:rPr>
            <w:t>19</w:t>
          </w:r>
          <w:r w:rsidR="00760082">
            <w:rPr>
              <w:sz w:val="18"/>
              <w:szCs w:val="18"/>
            </w:rPr>
            <w:t>.12.</w:t>
          </w:r>
          <w:r w:rsidR="00BC67E8">
            <w:rPr>
              <w:sz w:val="18"/>
              <w:szCs w:val="18"/>
            </w:rPr>
            <w:t>2018.</w:t>
          </w:r>
        </w:p>
      </w:tc>
      <w:tc>
        <w:tcPr>
          <w:tcW w:w="2268" w:type="dxa"/>
          <w:tcBorders>
            <w:top w:val="single" w:sz="2" w:space="0" w:color="auto"/>
            <w:bottom w:val="single" w:sz="12" w:space="0" w:color="auto"/>
          </w:tcBorders>
        </w:tcPr>
        <w:p w14:paraId="3F3268E6" w14:textId="77777777" w:rsidR="00BC67E8" w:rsidRPr="0058714B" w:rsidRDefault="00BC67E8" w:rsidP="00DD7534">
          <w:pPr>
            <w:tabs>
              <w:tab w:val="center" w:pos="4153"/>
              <w:tab w:val="right" w:pos="8306"/>
            </w:tabs>
            <w:jc w:val="both"/>
            <w:rPr>
              <w:rFonts w:eastAsia="Calibri"/>
              <w:sz w:val="18"/>
              <w:szCs w:val="22"/>
              <w:lang w:eastAsia="en-US"/>
            </w:rPr>
          </w:pPr>
          <w:r w:rsidRPr="0058714B">
            <w:rPr>
              <w:rFonts w:eastAsia="Calibri"/>
              <w:sz w:val="18"/>
              <w:szCs w:val="22"/>
              <w:lang w:eastAsia="en-US"/>
            </w:rPr>
            <w:t>Lappuses:</w:t>
          </w:r>
        </w:p>
        <w:p w14:paraId="0BEF1F04" w14:textId="3E6D749E" w:rsidR="00BC67E8" w:rsidRPr="0058714B" w:rsidRDefault="00BC67E8" w:rsidP="00DD7534">
          <w:pPr>
            <w:tabs>
              <w:tab w:val="center" w:pos="4153"/>
              <w:tab w:val="right" w:pos="8306"/>
            </w:tabs>
            <w:jc w:val="center"/>
            <w:rPr>
              <w:rFonts w:eastAsia="Calibri"/>
              <w:b/>
              <w:sz w:val="18"/>
              <w:szCs w:val="22"/>
              <w:lang w:eastAsia="en-US"/>
            </w:rPr>
          </w:pPr>
          <w:r w:rsidRPr="0058714B">
            <w:rPr>
              <w:rFonts w:eastAsia="Calibri"/>
              <w:b/>
              <w:sz w:val="18"/>
              <w:szCs w:val="22"/>
              <w:lang w:eastAsia="en-US"/>
            </w:rPr>
            <w:fldChar w:fldCharType="begin"/>
          </w:r>
          <w:r w:rsidRPr="0058714B">
            <w:rPr>
              <w:rFonts w:eastAsia="Calibri"/>
              <w:b/>
              <w:sz w:val="18"/>
              <w:szCs w:val="22"/>
              <w:lang w:eastAsia="en-US"/>
            </w:rPr>
            <w:instrText xml:space="preserve"> PAGE   \* MERGEFORMAT </w:instrText>
          </w:r>
          <w:r w:rsidRPr="0058714B">
            <w:rPr>
              <w:rFonts w:eastAsia="Calibri"/>
              <w:b/>
              <w:sz w:val="18"/>
              <w:szCs w:val="22"/>
              <w:lang w:eastAsia="en-US"/>
            </w:rPr>
            <w:fldChar w:fldCharType="separate"/>
          </w:r>
          <w:r w:rsidR="00165632">
            <w:rPr>
              <w:rFonts w:eastAsia="Calibri"/>
              <w:b/>
              <w:noProof/>
              <w:sz w:val="18"/>
              <w:szCs w:val="22"/>
              <w:lang w:eastAsia="en-US"/>
            </w:rPr>
            <w:t>1</w:t>
          </w:r>
          <w:r w:rsidRPr="0058714B">
            <w:rPr>
              <w:rFonts w:eastAsia="Calibri"/>
              <w:b/>
              <w:sz w:val="18"/>
              <w:szCs w:val="22"/>
              <w:lang w:eastAsia="en-US"/>
            </w:rPr>
            <w:fldChar w:fldCharType="end"/>
          </w:r>
          <w:r w:rsidRPr="0058714B">
            <w:rPr>
              <w:rFonts w:eastAsia="Calibri"/>
              <w:b/>
              <w:sz w:val="18"/>
              <w:szCs w:val="22"/>
              <w:lang w:eastAsia="en-US"/>
            </w:rPr>
            <w:t xml:space="preserve"> no 35</w:t>
          </w:r>
        </w:p>
        <w:p w14:paraId="6F859FA9" w14:textId="77777777" w:rsidR="00BC67E8" w:rsidRPr="0058714B" w:rsidRDefault="00BC67E8" w:rsidP="00DD7534">
          <w:pPr>
            <w:tabs>
              <w:tab w:val="center" w:pos="4153"/>
              <w:tab w:val="right" w:pos="8306"/>
            </w:tabs>
            <w:jc w:val="center"/>
            <w:rPr>
              <w:rFonts w:eastAsia="Calibri"/>
              <w:b/>
              <w:sz w:val="18"/>
              <w:szCs w:val="22"/>
              <w:lang w:eastAsia="en-US"/>
            </w:rPr>
          </w:pPr>
        </w:p>
      </w:tc>
    </w:tr>
  </w:tbl>
  <w:p w14:paraId="7F4A21C7" w14:textId="77777777" w:rsidR="00BC67E8" w:rsidRDefault="00BC6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6C4BB0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5"/>
    <w:multiLevelType w:val="singleLevel"/>
    <w:tmpl w:val="00000005"/>
    <w:name w:val="WW8Num14"/>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DA068A1"/>
    <w:multiLevelType w:val="multilevel"/>
    <w:tmpl w:val="51FEE2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ED76A7"/>
    <w:multiLevelType w:val="hybridMultilevel"/>
    <w:tmpl w:val="7260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21DC4"/>
    <w:multiLevelType w:val="multilevel"/>
    <w:tmpl w:val="0409001F"/>
    <w:lvl w:ilvl="0">
      <w:start w:val="1"/>
      <w:numFmt w:val="decimal"/>
      <w:lvlText w:val="%1."/>
      <w:lvlJc w:val="left"/>
      <w:pPr>
        <w:ind w:left="360" w:hanging="360"/>
      </w:pPr>
    </w:lvl>
    <w:lvl w:ilvl="1">
      <w:start w:val="1"/>
      <w:numFmt w:val="decimal"/>
      <w:lvlText w:val="%1.%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2D102F"/>
    <w:multiLevelType w:val="hybridMultilevel"/>
    <w:tmpl w:val="6A0A5A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537143"/>
    <w:multiLevelType w:val="hybridMultilevel"/>
    <w:tmpl w:val="EB107B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AB0B23"/>
    <w:multiLevelType w:val="hybridMultilevel"/>
    <w:tmpl w:val="F07ED474"/>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8" w15:restartNumberingAfterBreak="0">
    <w:nsid w:val="1CAB7CE4"/>
    <w:multiLevelType w:val="hybridMultilevel"/>
    <w:tmpl w:val="D43C8DCC"/>
    <w:lvl w:ilvl="0" w:tplc="3B9C40D6">
      <w:start w:val="1"/>
      <w:numFmt w:val="lowerLetter"/>
      <w:lvlText w:val="%1)"/>
      <w:lvlJc w:val="left"/>
      <w:pPr>
        <w:ind w:left="720" w:hanging="360"/>
      </w:pPr>
      <w:rPr>
        <w:rFonts w:hint="default"/>
        <w:b/>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256559"/>
    <w:multiLevelType w:val="hybridMultilevel"/>
    <w:tmpl w:val="B9F0CA96"/>
    <w:lvl w:ilvl="0" w:tplc="04260017">
      <w:start w:val="1"/>
      <w:numFmt w:val="lowerLetter"/>
      <w:pStyle w:val="ListBullet1"/>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172223A"/>
    <w:multiLevelType w:val="hybridMultilevel"/>
    <w:tmpl w:val="7ACC7C80"/>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44A1F91"/>
    <w:multiLevelType w:val="hybridMultilevel"/>
    <w:tmpl w:val="4DD0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40C57"/>
    <w:multiLevelType w:val="hybridMultilevel"/>
    <w:tmpl w:val="A27866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CF2AEB"/>
    <w:multiLevelType w:val="hybridMultilevel"/>
    <w:tmpl w:val="6278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9771E"/>
    <w:multiLevelType w:val="hybridMultilevel"/>
    <w:tmpl w:val="739EFE8E"/>
    <w:lvl w:ilvl="0" w:tplc="04260017">
      <w:start w:val="1"/>
      <w:numFmt w:val="lowerLetter"/>
      <w:lvlText w:val="%1)"/>
      <w:lvlJc w:val="left"/>
      <w:pPr>
        <w:ind w:left="720" w:hanging="360"/>
      </w:pPr>
      <w:rPr>
        <w:rFonts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D038BF"/>
    <w:multiLevelType w:val="hybridMultilevel"/>
    <w:tmpl w:val="87D6AF78"/>
    <w:lvl w:ilvl="0" w:tplc="1BDABFA4">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F74C08"/>
    <w:multiLevelType w:val="hybridMultilevel"/>
    <w:tmpl w:val="902EDC56"/>
    <w:lvl w:ilvl="0" w:tplc="56B487EE">
      <w:start w:val="1"/>
      <w:numFmt w:val="lowerLetter"/>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658D0CC4"/>
    <w:multiLevelType w:val="hybridMultilevel"/>
    <w:tmpl w:val="94B200A4"/>
    <w:lvl w:ilvl="0" w:tplc="94B8EE24">
      <w:start w:val="1"/>
      <w:numFmt w:val="decimal"/>
      <w:lvlText w:val="%1)"/>
      <w:lvlJc w:val="left"/>
      <w:pPr>
        <w:ind w:left="269" w:hanging="360"/>
      </w:pPr>
      <w:rPr>
        <w:rFonts w:hint="default"/>
      </w:rPr>
    </w:lvl>
    <w:lvl w:ilvl="1" w:tplc="04260019" w:tentative="1">
      <w:start w:val="1"/>
      <w:numFmt w:val="lowerLetter"/>
      <w:lvlText w:val="%2."/>
      <w:lvlJc w:val="left"/>
      <w:pPr>
        <w:ind w:left="989" w:hanging="360"/>
      </w:pPr>
    </w:lvl>
    <w:lvl w:ilvl="2" w:tplc="0426001B" w:tentative="1">
      <w:start w:val="1"/>
      <w:numFmt w:val="lowerRoman"/>
      <w:lvlText w:val="%3."/>
      <w:lvlJc w:val="right"/>
      <w:pPr>
        <w:ind w:left="1709" w:hanging="180"/>
      </w:pPr>
    </w:lvl>
    <w:lvl w:ilvl="3" w:tplc="0426000F" w:tentative="1">
      <w:start w:val="1"/>
      <w:numFmt w:val="decimal"/>
      <w:lvlText w:val="%4."/>
      <w:lvlJc w:val="left"/>
      <w:pPr>
        <w:ind w:left="2429" w:hanging="360"/>
      </w:pPr>
    </w:lvl>
    <w:lvl w:ilvl="4" w:tplc="04260019" w:tentative="1">
      <w:start w:val="1"/>
      <w:numFmt w:val="lowerLetter"/>
      <w:lvlText w:val="%5."/>
      <w:lvlJc w:val="left"/>
      <w:pPr>
        <w:ind w:left="3149" w:hanging="360"/>
      </w:pPr>
    </w:lvl>
    <w:lvl w:ilvl="5" w:tplc="0426001B" w:tentative="1">
      <w:start w:val="1"/>
      <w:numFmt w:val="lowerRoman"/>
      <w:lvlText w:val="%6."/>
      <w:lvlJc w:val="right"/>
      <w:pPr>
        <w:ind w:left="3869" w:hanging="180"/>
      </w:pPr>
    </w:lvl>
    <w:lvl w:ilvl="6" w:tplc="0426000F" w:tentative="1">
      <w:start w:val="1"/>
      <w:numFmt w:val="decimal"/>
      <w:lvlText w:val="%7."/>
      <w:lvlJc w:val="left"/>
      <w:pPr>
        <w:ind w:left="4589" w:hanging="360"/>
      </w:pPr>
    </w:lvl>
    <w:lvl w:ilvl="7" w:tplc="04260019" w:tentative="1">
      <w:start w:val="1"/>
      <w:numFmt w:val="lowerLetter"/>
      <w:lvlText w:val="%8."/>
      <w:lvlJc w:val="left"/>
      <w:pPr>
        <w:ind w:left="5309" w:hanging="360"/>
      </w:pPr>
    </w:lvl>
    <w:lvl w:ilvl="8" w:tplc="0426001B" w:tentative="1">
      <w:start w:val="1"/>
      <w:numFmt w:val="lowerRoman"/>
      <w:lvlText w:val="%9."/>
      <w:lvlJc w:val="right"/>
      <w:pPr>
        <w:ind w:left="6029" w:hanging="180"/>
      </w:pPr>
    </w:lvl>
  </w:abstractNum>
  <w:abstractNum w:abstractNumId="18" w15:restartNumberingAfterBreak="0">
    <w:nsid w:val="66017511"/>
    <w:multiLevelType w:val="hybridMultilevel"/>
    <w:tmpl w:val="A372C5C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6A4F31B9"/>
    <w:multiLevelType w:val="hybridMultilevel"/>
    <w:tmpl w:val="24E27D20"/>
    <w:lvl w:ilvl="0" w:tplc="24E26056">
      <w:start w:val="1"/>
      <w:numFmt w:val="lowerLetter"/>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20" w15:restartNumberingAfterBreak="0">
    <w:nsid w:val="6EAB72B7"/>
    <w:multiLevelType w:val="hybridMultilevel"/>
    <w:tmpl w:val="91AA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10"/>
  </w:num>
  <w:num w:numId="6">
    <w:abstractNumId w:val="16"/>
  </w:num>
  <w:num w:numId="7">
    <w:abstractNumId w:val="18"/>
  </w:num>
  <w:num w:numId="8">
    <w:abstractNumId w:val="13"/>
  </w:num>
  <w:num w:numId="9">
    <w:abstractNumId w:val="11"/>
  </w:num>
  <w:num w:numId="10">
    <w:abstractNumId w:val="20"/>
  </w:num>
  <w:num w:numId="11">
    <w:abstractNumId w:val="3"/>
  </w:num>
  <w:num w:numId="12">
    <w:abstractNumId w:val="14"/>
  </w:num>
  <w:num w:numId="13">
    <w:abstractNumId w:val="8"/>
  </w:num>
  <w:num w:numId="14">
    <w:abstractNumId w:val="5"/>
  </w:num>
  <w:num w:numId="15">
    <w:abstractNumId w:val="15"/>
  </w:num>
  <w:num w:numId="16">
    <w:abstractNumId w:val="7"/>
  </w:num>
  <w:num w:numId="17">
    <w:abstractNumId w:val="6"/>
  </w:num>
  <w:num w:numId="18">
    <w:abstractNumId w:val="1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44"/>
    <w:rsid w:val="0000078F"/>
    <w:rsid w:val="00002235"/>
    <w:rsid w:val="000025F7"/>
    <w:rsid w:val="000055A7"/>
    <w:rsid w:val="000055C0"/>
    <w:rsid w:val="000058A7"/>
    <w:rsid w:val="000063C9"/>
    <w:rsid w:val="00006D15"/>
    <w:rsid w:val="00011145"/>
    <w:rsid w:val="00011466"/>
    <w:rsid w:val="000123D1"/>
    <w:rsid w:val="00013DD6"/>
    <w:rsid w:val="000172CF"/>
    <w:rsid w:val="000209B0"/>
    <w:rsid w:val="000213D4"/>
    <w:rsid w:val="0002263D"/>
    <w:rsid w:val="00022BA1"/>
    <w:rsid w:val="00022C7A"/>
    <w:rsid w:val="00023061"/>
    <w:rsid w:val="00023A1B"/>
    <w:rsid w:val="000243A7"/>
    <w:rsid w:val="0002549E"/>
    <w:rsid w:val="00030447"/>
    <w:rsid w:val="000336EE"/>
    <w:rsid w:val="00035CA1"/>
    <w:rsid w:val="00035D68"/>
    <w:rsid w:val="0003645F"/>
    <w:rsid w:val="000410BC"/>
    <w:rsid w:val="00042AB7"/>
    <w:rsid w:val="00042ED8"/>
    <w:rsid w:val="00046478"/>
    <w:rsid w:val="0005023C"/>
    <w:rsid w:val="00050C2E"/>
    <w:rsid w:val="00050F06"/>
    <w:rsid w:val="00051AD6"/>
    <w:rsid w:val="00052144"/>
    <w:rsid w:val="00053FEF"/>
    <w:rsid w:val="0005409E"/>
    <w:rsid w:val="00054149"/>
    <w:rsid w:val="00057EDB"/>
    <w:rsid w:val="00065E2C"/>
    <w:rsid w:val="000678AD"/>
    <w:rsid w:val="00070691"/>
    <w:rsid w:val="0007168B"/>
    <w:rsid w:val="000717FC"/>
    <w:rsid w:val="00071B01"/>
    <w:rsid w:val="00072C27"/>
    <w:rsid w:val="00073600"/>
    <w:rsid w:val="000749FE"/>
    <w:rsid w:val="00077E46"/>
    <w:rsid w:val="000802C4"/>
    <w:rsid w:val="00080520"/>
    <w:rsid w:val="00082A5B"/>
    <w:rsid w:val="00084E57"/>
    <w:rsid w:val="00087DB3"/>
    <w:rsid w:val="00087F7F"/>
    <w:rsid w:val="000904B3"/>
    <w:rsid w:val="00090CC4"/>
    <w:rsid w:val="00091494"/>
    <w:rsid w:val="0009338D"/>
    <w:rsid w:val="00094CDA"/>
    <w:rsid w:val="0009562C"/>
    <w:rsid w:val="00095AFF"/>
    <w:rsid w:val="00095B52"/>
    <w:rsid w:val="0009669E"/>
    <w:rsid w:val="00096794"/>
    <w:rsid w:val="000979DF"/>
    <w:rsid w:val="000A03DB"/>
    <w:rsid w:val="000A0466"/>
    <w:rsid w:val="000A44F2"/>
    <w:rsid w:val="000A4524"/>
    <w:rsid w:val="000A4E16"/>
    <w:rsid w:val="000A5BD1"/>
    <w:rsid w:val="000A6D4F"/>
    <w:rsid w:val="000A7300"/>
    <w:rsid w:val="000A79B1"/>
    <w:rsid w:val="000A79C2"/>
    <w:rsid w:val="000A7CD3"/>
    <w:rsid w:val="000B001A"/>
    <w:rsid w:val="000B0481"/>
    <w:rsid w:val="000B05C5"/>
    <w:rsid w:val="000B3079"/>
    <w:rsid w:val="000B4B6E"/>
    <w:rsid w:val="000B6287"/>
    <w:rsid w:val="000B6E01"/>
    <w:rsid w:val="000C08A5"/>
    <w:rsid w:val="000C3528"/>
    <w:rsid w:val="000C40BA"/>
    <w:rsid w:val="000C548E"/>
    <w:rsid w:val="000C5A60"/>
    <w:rsid w:val="000D0D7B"/>
    <w:rsid w:val="000D1182"/>
    <w:rsid w:val="000D2AE0"/>
    <w:rsid w:val="000D5F60"/>
    <w:rsid w:val="000D7EB2"/>
    <w:rsid w:val="000E13B6"/>
    <w:rsid w:val="000E4BA4"/>
    <w:rsid w:val="000E519A"/>
    <w:rsid w:val="000E556A"/>
    <w:rsid w:val="000E6FCD"/>
    <w:rsid w:val="000F02FF"/>
    <w:rsid w:val="000F187D"/>
    <w:rsid w:val="000F4391"/>
    <w:rsid w:val="000F47B9"/>
    <w:rsid w:val="000F49C7"/>
    <w:rsid w:val="001001C2"/>
    <w:rsid w:val="0010054D"/>
    <w:rsid w:val="00102ACE"/>
    <w:rsid w:val="00102EC3"/>
    <w:rsid w:val="00103C8A"/>
    <w:rsid w:val="00104096"/>
    <w:rsid w:val="00104BEC"/>
    <w:rsid w:val="00107777"/>
    <w:rsid w:val="0011014F"/>
    <w:rsid w:val="001101CE"/>
    <w:rsid w:val="00110842"/>
    <w:rsid w:val="001108FB"/>
    <w:rsid w:val="00110F9F"/>
    <w:rsid w:val="001112A7"/>
    <w:rsid w:val="001117B8"/>
    <w:rsid w:val="00112CD1"/>
    <w:rsid w:val="00115098"/>
    <w:rsid w:val="0011516F"/>
    <w:rsid w:val="00115373"/>
    <w:rsid w:val="00115806"/>
    <w:rsid w:val="00116219"/>
    <w:rsid w:val="001218D9"/>
    <w:rsid w:val="0012585D"/>
    <w:rsid w:val="00125AE2"/>
    <w:rsid w:val="00130C42"/>
    <w:rsid w:val="00131F4B"/>
    <w:rsid w:val="00132276"/>
    <w:rsid w:val="001327E7"/>
    <w:rsid w:val="00132FE2"/>
    <w:rsid w:val="0013327F"/>
    <w:rsid w:val="001347FA"/>
    <w:rsid w:val="0013787E"/>
    <w:rsid w:val="00140DB5"/>
    <w:rsid w:val="00140EAA"/>
    <w:rsid w:val="00140F35"/>
    <w:rsid w:val="001413FE"/>
    <w:rsid w:val="001427A3"/>
    <w:rsid w:val="00143745"/>
    <w:rsid w:val="00143949"/>
    <w:rsid w:val="00144CE5"/>
    <w:rsid w:val="00145237"/>
    <w:rsid w:val="00146DF2"/>
    <w:rsid w:val="0015233C"/>
    <w:rsid w:val="001524F0"/>
    <w:rsid w:val="001527A7"/>
    <w:rsid w:val="001559C1"/>
    <w:rsid w:val="00157E29"/>
    <w:rsid w:val="001613D9"/>
    <w:rsid w:val="00161E15"/>
    <w:rsid w:val="0016228C"/>
    <w:rsid w:val="00162BB9"/>
    <w:rsid w:val="001630D0"/>
    <w:rsid w:val="00163DB4"/>
    <w:rsid w:val="00165323"/>
    <w:rsid w:val="0016547C"/>
    <w:rsid w:val="00165632"/>
    <w:rsid w:val="00165A58"/>
    <w:rsid w:val="00167282"/>
    <w:rsid w:val="001679D3"/>
    <w:rsid w:val="00170543"/>
    <w:rsid w:val="00171D01"/>
    <w:rsid w:val="00173A99"/>
    <w:rsid w:val="001740D3"/>
    <w:rsid w:val="00174281"/>
    <w:rsid w:val="00174454"/>
    <w:rsid w:val="00175729"/>
    <w:rsid w:val="001762B3"/>
    <w:rsid w:val="00176413"/>
    <w:rsid w:val="001775CF"/>
    <w:rsid w:val="0017783E"/>
    <w:rsid w:val="001805F5"/>
    <w:rsid w:val="00180A97"/>
    <w:rsid w:val="00182ACF"/>
    <w:rsid w:val="00183225"/>
    <w:rsid w:val="001843DB"/>
    <w:rsid w:val="0018627D"/>
    <w:rsid w:val="00191D53"/>
    <w:rsid w:val="00192B7C"/>
    <w:rsid w:val="001930D9"/>
    <w:rsid w:val="00194E71"/>
    <w:rsid w:val="00195B79"/>
    <w:rsid w:val="00195EE1"/>
    <w:rsid w:val="00196DEC"/>
    <w:rsid w:val="001A0026"/>
    <w:rsid w:val="001A07CF"/>
    <w:rsid w:val="001A150D"/>
    <w:rsid w:val="001A28EA"/>
    <w:rsid w:val="001A2D43"/>
    <w:rsid w:val="001A7A7B"/>
    <w:rsid w:val="001B0993"/>
    <w:rsid w:val="001B19A6"/>
    <w:rsid w:val="001B1FBC"/>
    <w:rsid w:val="001B2A24"/>
    <w:rsid w:val="001B2E25"/>
    <w:rsid w:val="001B3F96"/>
    <w:rsid w:val="001B7096"/>
    <w:rsid w:val="001B7E52"/>
    <w:rsid w:val="001C1A0F"/>
    <w:rsid w:val="001C2833"/>
    <w:rsid w:val="001C2EDF"/>
    <w:rsid w:val="001C4685"/>
    <w:rsid w:val="001C4BF9"/>
    <w:rsid w:val="001C655A"/>
    <w:rsid w:val="001D06A1"/>
    <w:rsid w:val="001D1576"/>
    <w:rsid w:val="001D176A"/>
    <w:rsid w:val="001D28C6"/>
    <w:rsid w:val="001D305E"/>
    <w:rsid w:val="001D6BC3"/>
    <w:rsid w:val="001E091C"/>
    <w:rsid w:val="001E1DC0"/>
    <w:rsid w:val="001E61C1"/>
    <w:rsid w:val="001E7444"/>
    <w:rsid w:val="001E78D3"/>
    <w:rsid w:val="001F0B63"/>
    <w:rsid w:val="001F10BF"/>
    <w:rsid w:val="001F68DE"/>
    <w:rsid w:val="001F6B6F"/>
    <w:rsid w:val="001F75E7"/>
    <w:rsid w:val="002002D8"/>
    <w:rsid w:val="0020108F"/>
    <w:rsid w:val="00202098"/>
    <w:rsid w:val="002029E0"/>
    <w:rsid w:val="00204392"/>
    <w:rsid w:val="00205760"/>
    <w:rsid w:val="00207DE1"/>
    <w:rsid w:val="002104B0"/>
    <w:rsid w:val="0021076F"/>
    <w:rsid w:val="002127EC"/>
    <w:rsid w:val="00215E5D"/>
    <w:rsid w:val="00223463"/>
    <w:rsid w:val="00223D4A"/>
    <w:rsid w:val="00224A2B"/>
    <w:rsid w:val="0022726D"/>
    <w:rsid w:val="00227FA9"/>
    <w:rsid w:val="0023194A"/>
    <w:rsid w:val="00232B7A"/>
    <w:rsid w:val="002349B3"/>
    <w:rsid w:val="00235B92"/>
    <w:rsid w:val="00235CAB"/>
    <w:rsid w:val="00240917"/>
    <w:rsid w:val="00240A1E"/>
    <w:rsid w:val="00241F5A"/>
    <w:rsid w:val="0024476E"/>
    <w:rsid w:val="00246B53"/>
    <w:rsid w:val="002505C7"/>
    <w:rsid w:val="00251081"/>
    <w:rsid w:val="00251A19"/>
    <w:rsid w:val="00252AAD"/>
    <w:rsid w:val="00252F35"/>
    <w:rsid w:val="002536B5"/>
    <w:rsid w:val="00261D17"/>
    <w:rsid w:val="0026332F"/>
    <w:rsid w:val="0026438C"/>
    <w:rsid w:val="00265A84"/>
    <w:rsid w:val="00265C3D"/>
    <w:rsid w:val="002662AB"/>
    <w:rsid w:val="002679E5"/>
    <w:rsid w:val="00271784"/>
    <w:rsid w:val="00271C54"/>
    <w:rsid w:val="00272422"/>
    <w:rsid w:val="0027286C"/>
    <w:rsid w:val="00272F8E"/>
    <w:rsid w:val="002735CC"/>
    <w:rsid w:val="00275263"/>
    <w:rsid w:val="002763D4"/>
    <w:rsid w:val="002775D8"/>
    <w:rsid w:val="0027789C"/>
    <w:rsid w:val="00277EBA"/>
    <w:rsid w:val="002800ED"/>
    <w:rsid w:val="00280F05"/>
    <w:rsid w:val="00282385"/>
    <w:rsid w:val="002832BE"/>
    <w:rsid w:val="00284A6C"/>
    <w:rsid w:val="00284CE3"/>
    <w:rsid w:val="00284E35"/>
    <w:rsid w:val="00285AA8"/>
    <w:rsid w:val="00285C6E"/>
    <w:rsid w:val="0028659D"/>
    <w:rsid w:val="00286F0A"/>
    <w:rsid w:val="002871AE"/>
    <w:rsid w:val="002879E4"/>
    <w:rsid w:val="00287B2D"/>
    <w:rsid w:val="002913DE"/>
    <w:rsid w:val="00291820"/>
    <w:rsid w:val="00291A25"/>
    <w:rsid w:val="00293B4E"/>
    <w:rsid w:val="00293C34"/>
    <w:rsid w:val="0029446B"/>
    <w:rsid w:val="002952D1"/>
    <w:rsid w:val="0029534A"/>
    <w:rsid w:val="00295AE1"/>
    <w:rsid w:val="002971ED"/>
    <w:rsid w:val="002A0C84"/>
    <w:rsid w:val="002A16B1"/>
    <w:rsid w:val="002A2268"/>
    <w:rsid w:val="002A38A2"/>
    <w:rsid w:val="002A59A5"/>
    <w:rsid w:val="002A6D87"/>
    <w:rsid w:val="002A7296"/>
    <w:rsid w:val="002B058F"/>
    <w:rsid w:val="002B12DB"/>
    <w:rsid w:val="002B19BD"/>
    <w:rsid w:val="002B1D30"/>
    <w:rsid w:val="002B239D"/>
    <w:rsid w:val="002B7358"/>
    <w:rsid w:val="002C1635"/>
    <w:rsid w:val="002C3386"/>
    <w:rsid w:val="002C3809"/>
    <w:rsid w:val="002C4871"/>
    <w:rsid w:val="002C68AE"/>
    <w:rsid w:val="002C70FE"/>
    <w:rsid w:val="002C7291"/>
    <w:rsid w:val="002C739A"/>
    <w:rsid w:val="002C76CC"/>
    <w:rsid w:val="002D0056"/>
    <w:rsid w:val="002D06D9"/>
    <w:rsid w:val="002D2B48"/>
    <w:rsid w:val="002D3092"/>
    <w:rsid w:val="002D3E17"/>
    <w:rsid w:val="002D4BA5"/>
    <w:rsid w:val="002D4FA7"/>
    <w:rsid w:val="002D52B4"/>
    <w:rsid w:val="002D5654"/>
    <w:rsid w:val="002D58B3"/>
    <w:rsid w:val="002D6DE7"/>
    <w:rsid w:val="002D727A"/>
    <w:rsid w:val="002E0907"/>
    <w:rsid w:val="002E1907"/>
    <w:rsid w:val="002E3B20"/>
    <w:rsid w:val="002E4374"/>
    <w:rsid w:val="002E77E6"/>
    <w:rsid w:val="002F06F9"/>
    <w:rsid w:val="002F0815"/>
    <w:rsid w:val="002F0D38"/>
    <w:rsid w:val="002F1050"/>
    <w:rsid w:val="002F172E"/>
    <w:rsid w:val="002F68FD"/>
    <w:rsid w:val="002F6CB0"/>
    <w:rsid w:val="002F6D70"/>
    <w:rsid w:val="002F6DF7"/>
    <w:rsid w:val="002F78D6"/>
    <w:rsid w:val="00300756"/>
    <w:rsid w:val="003009B7"/>
    <w:rsid w:val="003014BB"/>
    <w:rsid w:val="00302558"/>
    <w:rsid w:val="00303655"/>
    <w:rsid w:val="0030566F"/>
    <w:rsid w:val="003107BA"/>
    <w:rsid w:val="00311911"/>
    <w:rsid w:val="00311A01"/>
    <w:rsid w:val="0031274D"/>
    <w:rsid w:val="00312FAD"/>
    <w:rsid w:val="00313D11"/>
    <w:rsid w:val="00314101"/>
    <w:rsid w:val="00314217"/>
    <w:rsid w:val="0031427C"/>
    <w:rsid w:val="0031538E"/>
    <w:rsid w:val="0031601F"/>
    <w:rsid w:val="00320E33"/>
    <w:rsid w:val="00322200"/>
    <w:rsid w:val="00322ECE"/>
    <w:rsid w:val="0032720D"/>
    <w:rsid w:val="00330137"/>
    <w:rsid w:val="00330B5C"/>
    <w:rsid w:val="00330C0D"/>
    <w:rsid w:val="00331481"/>
    <w:rsid w:val="003315BF"/>
    <w:rsid w:val="00332BE8"/>
    <w:rsid w:val="00340021"/>
    <w:rsid w:val="003414DC"/>
    <w:rsid w:val="00345777"/>
    <w:rsid w:val="00346197"/>
    <w:rsid w:val="00346A98"/>
    <w:rsid w:val="00347995"/>
    <w:rsid w:val="003504EE"/>
    <w:rsid w:val="003515E1"/>
    <w:rsid w:val="00352921"/>
    <w:rsid w:val="00353DFC"/>
    <w:rsid w:val="003551E8"/>
    <w:rsid w:val="0035525E"/>
    <w:rsid w:val="00355B70"/>
    <w:rsid w:val="00355C5B"/>
    <w:rsid w:val="00356537"/>
    <w:rsid w:val="0035731B"/>
    <w:rsid w:val="003578DC"/>
    <w:rsid w:val="003618CD"/>
    <w:rsid w:val="00361A9B"/>
    <w:rsid w:val="00361CB3"/>
    <w:rsid w:val="00362473"/>
    <w:rsid w:val="003648F0"/>
    <w:rsid w:val="00370AC0"/>
    <w:rsid w:val="00371234"/>
    <w:rsid w:val="003713FB"/>
    <w:rsid w:val="00372A3D"/>
    <w:rsid w:val="00374F12"/>
    <w:rsid w:val="00375206"/>
    <w:rsid w:val="003754F6"/>
    <w:rsid w:val="003763D5"/>
    <w:rsid w:val="00376C3F"/>
    <w:rsid w:val="00377335"/>
    <w:rsid w:val="00377DAC"/>
    <w:rsid w:val="0038056B"/>
    <w:rsid w:val="00380715"/>
    <w:rsid w:val="00381213"/>
    <w:rsid w:val="00383910"/>
    <w:rsid w:val="003854BF"/>
    <w:rsid w:val="00385AF0"/>
    <w:rsid w:val="00387B3A"/>
    <w:rsid w:val="003902C2"/>
    <w:rsid w:val="003904BE"/>
    <w:rsid w:val="00390B86"/>
    <w:rsid w:val="003926D2"/>
    <w:rsid w:val="00393872"/>
    <w:rsid w:val="0039555F"/>
    <w:rsid w:val="00395DF0"/>
    <w:rsid w:val="00396AD5"/>
    <w:rsid w:val="00396C8A"/>
    <w:rsid w:val="003977FF"/>
    <w:rsid w:val="003A0466"/>
    <w:rsid w:val="003A1798"/>
    <w:rsid w:val="003A2310"/>
    <w:rsid w:val="003A268B"/>
    <w:rsid w:val="003A4DAE"/>
    <w:rsid w:val="003A6076"/>
    <w:rsid w:val="003A668B"/>
    <w:rsid w:val="003A7AFD"/>
    <w:rsid w:val="003B0E17"/>
    <w:rsid w:val="003B1056"/>
    <w:rsid w:val="003B13B2"/>
    <w:rsid w:val="003B1A4F"/>
    <w:rsid w:val="003B22BC"/>
    <w:rsid w:val="003B252F"/>
    <w:rsid w:val="003B2756"/>
    <w:rsid w:val="003B3514"/>
    <w:rsid w:val="003B446B"/>
    <w:rsid w:val="003B642F"/>
    <w:rsid w:val="003B748F"/>
    <w:rsid w:val="003C1DA0"/>
    <w:rsid w:val="003C2BFB"/>
    <w:rsid w:val="003C2EA1"/>
    <w:rsid w:val="003C4617"/>
    <w:rsid w:val="003C6BA2"/>
    <w:rsid w:val="003C6C82"/>
    <w:rsid w:val="003D0909"/>
    <w:rsid w:val="003D0C89"/>
    <w:rsid w:val="003D17AE"/>
    <w:rsid w:val="003D1AE4"/>
    <w:rsid w:val="003D2AA8"/>
    <w:rsid w:val="003D2D4F"/>
    <w:rsid w:val="003D3222"/>
    <w:rsid w:val="003D3553"/>
    <w:rsid w:val="003D4343"/>
    <w:rsid w:val="003D567D"/>
    <w:rsid w:val="003D5B32"/>
    <w:rsid w:val="003D628C"/>
    <w:rsid w:val="003D6AD7"/>
    <w:rsid w:val="003E13FC"/>
    <w:rsid w:val="003E228B"/>
    <w:rsid w:val="003E3B2A"/>
    <w:rsid w:val="003E45E8"/>
    <w:rsid w:val="003E5FAE"/>
    <w:rsid w:val="003F0DC0"/>
    <w:rsid w:val="003F0E9A"/>
    <w:rsid w:val="003F2812"/>
    <w:rsid w:val="003F2AE8"/>
    <w:rsid w:val="003F2CFE"/>
    <w:rsid w:val="003F5406"/>
    <w:rsid w:val="003F5944"/>
    <w:rsid w:val="003F6929"/>
    <w:rsid w:val="003F7DB2"/>
    <w:rsid w:val="004024BE"/>
    <w:rsid w:val="004055FB"/>
    <w:rsid w:val="00412AEB"/>
    <w:rsid w:val="00413D53"/>
    <w:rsid w:val="0041435A"/>
    <w:rsid w:val="00414A7B"/>
    <w:rsid w:val="00414BDD"/>
    <w:rsid w:val="0041595C"/>
    <w:rsid w:val="00415D22"/>
    <w:rsid w:val="00417562"/>
    <w:rsid w:val="0042146D"/>
    <w:rsid w:val="004229A2"/>
    <w:rsid w:val="004239B3"/>
    <w:rsid w:val="004250EF"/>
    <w:rsid w:val="004251C6"/>
    <w:rsid w:val="004271AF"/>
    <w:rsid w:val="004278BE"/>
    <w:rsid w:val="0043035D"/>
    <w:rsid w:val="00430562"/>
    <w:rsid w:val="004309CF"/>
    <w:rsid w:val="00432C85"/>
    <w:rsid w:val="00433457"/>
    <w:rsid w:val="0043634C"/>
    <w:rsid w:val="00440B48"/>
    <w:rsid w:val="004421A3"/>
    <w:rsid w:val="0044226A"/>
    <w:rsid w:val="004454E7"/>
    <w:rsid w:val="00445530"/>
    <w:rsid w:val="00446DB0"/>
    <w:rsid w:val="004516BE"/>
    <w:rsid w:val="00455BF5"/>
    <w:rsid w:val="00455D1C"/>
    <w:rsid w:val="00456EA9"/>
    <w:rsid w:val="00460B4A"/>
    <w:rsid w:val="00460DB1"/>
    <w:rsid w:val="00463CB9"/>
    <w:rsid w:val="00464451"/>
    <w:rsid w:val="0046667C"/>
    <w:rsid w:val="00472036"/>
    <w:rsid w:val="00472E5A"/>
    <w:rsid w:val="00475545"/>
    <w:rsid w:val="00476578"/>
    <w:rsid w:val="00480D31"/>
    <w:rsid w:val="00481E37"/>
    <w:rsid w:val="004830C4"/>
    <w:rsid w:val="0048579D"/>
    <w:rsid w:val="00486B9E"/>
    <w:rsid w:val="004870B3"/>
    <w:rsid w:val="00490299"/>
    <w:rsid w:val="004912E1"/>
    <w:rsid w:val="00492D37"/>
    <w:rsid w:val="00494298"/>
    <w:rsid w:val="0049542B"/>
    <w:rsid w:val="00495714"/>
    <w:rsid w:val="0049710E"/>
    <w:rsid w:val="004A0E6B"/>
    <w:rsid w:val="004A1AC8"/>
    <w:rsid w:val="004A2D98"/>
    <w:rsid w:val="004A397A"/>
    <w:rsid w:val="004A4DCE"/>
    <w:rsid w:val="004A72FC"/>
    <w:rsid w:val="004B266E"/>
    <w:rsid w:val="004B3A1E"/>
    <w:rsid w:val="004B5C52"/>
    <w:rsid w:val="004B63B0"/>
    <w:rsid w:val="004B6C02"/>
    <w:rsid w:val="004C4C15"/>
    <w:rsid w:val="004C5D0A"/>
    <w:rsid w:val="004C5D3D"/>
    <w:rsid w:val="004C61D1"/>
    <w:rsid w:val="004C677A"/>
    <w:rsid w:val="004C6F3F"/>
    <w:rsid w:val="004D0375"/>
    <w:rsid w:val="004D1EC1"/>
    <w:rsid w:val="004D7AC6"/>
    <w:rsid w:val="004E0F0D"/>
    <w:rsid w:val="004E23D0"/>
    <w:rsid w:val="004E3590"/>
    <w:rsid w:val="004E405E"/>
    <w:rsid w:val="004E4B6B"/>
    <w:rsid w:val="004E5EB6"/>
    <w:rsid w:val="004E72A6"/>
    <w:rsid w:val="004E7745"/>
    <w:rsid w:val="004F0714"/>
    <w:rsid w:val="004F4EAF"/>
    <w:rsid w:val="004F5447"/>
    <w:rsid w:val="00502722"/>
    <w:rsid w:val="00502EC5"/>
    <w:rsid w:val="005030D3"/>
    <w:rsid w:val="00504368"/>
    <w:rsid w:val="00504B2C"/>
    <w:rsid w:val="0050696A"/>
    <w:rsid w:val="005149D7"/>
    <w:rsid w:val="00515130"/>
    <w:rsid w:val="00516968"/>
    <w:rsid w:val="00516A85"/>
    <w:rsid w:val="00516CCC"/>
    <w:rsid w:val="00516F86"/>
    <w:rsid w:val="005171D5"/>
    <w:rsid w:val="00522BBD"/>
    <w:rsid w:val="00523189"/>
    <w:rsid w:val="005247BF"/>
    <w:rsid w:val="00524B62"/>
    <w:rsid w:val="00525236"/>
    <w:rsid w:val="0052600D"/>
    <w:rsid w:val="00527A7D"/>
    <w:rsid w:val="0053162A"/>
    <w:rsid w:val="00532B04"/>
    <w:rsid w:val="005334CD"/>
    <w:rsid w:val="00535F80"/>
    <w:rsid w:val="0053662F"/>
    <w:rsid w:val="00536D59"/>
    <w:rsid w:val="00540A94"/>
    <w:rsid w:val="005418DF"/>
    <w:rsid w:val="00541914"/>
    <w:rsid w:val="00541D87"/>
    <w:rsid w:val="005426F5"/>
    <w:rsid w:val="00542990"/>
    <w:rsid w:val="005451A9"/>
    <w:rsid w:val="00545496"/>
    <w:rsid w:val="005459B0"/>
    <w:rsid w:val="00545EFC"/>
    <w:rsid w:val="00546513"/>
    <w:rsid w:val="00546AEC"/>
    <w:rsid w:val="005502F7"/>
    <w:rsid w:val="00552CAD"/>
    <w:rsid w:val="0055390C"/>
    <w:rsid w:val="00554A58"/>
    <w:rsid w:val="00554E31"/>
    <w:rsid w:val="00555B86"/>
    <w:rsid w:val="00556028"/>
    <w:rsid w:val="00557240"/>
    <w:rsid w:val="00560B3B"/>
    <w:rsid w:val="00562486"/>
    <w:rsid w:val="00562D85"/>
    <w:rsid w:val="00563C91"/>
    <w:rsid w:val="00563EE9"/>
    <w:rsid w:val="00566918"/>
    <w:rsid w:val="00566CAF"/>
    <w:rsid w:val="00570351"/>
    <w:rsid w:val="005709A0"/>
    <w:rsid w:val="005723F7"/>
    <w:rsid w:val="005736D5"/>
    <w:rsid w:val="00573D79"/>
    <w:rsid w:val="0058169F"/>
    <w:rsid w:val="00583E07"/>
    <w:rsid w:val="00584224"/>
    <w:rsid w:val="00584A11"/>
    <w:rsid w:val="00586AB9"/>
    <w:rsid w:val="0058714B"/>
    <w:rsid w:val="00590567"/>
    <w:rsid w:val="00592036"/>
    <w:rsid w:val="00594184"/>
    <w:rsid w:val="00594357"/>
    <w:rsid w:val="00595EAB"/>
    <w:rsid w:val="00596012"/>
    <w:rsid w:val="0059694B"/>
    <w:rsid w:val="0059703C"/>
    <w:rsid w:val="005A0F88"/>
    <w:rsid w:val="005A1266"/>
    <w:rsid w:val="005A3128"/>
    <w:rsid w:val="005A66D3"/>
    <w:rsid w:val="005A6A02"/>
    <w:rsid w:val="005A78C8"/>
    <w:rsid w:val="005B030E"/>
    <w:rsid w:val="005B0583"/>
    <w:rsid w:val="005B0813"/>
    <w:rsid w:val="005B2E8E"/>
    <w:rsid w:val="005B39F6"/>
    <w:rsid w:val="005B3AF5"/>
    <w:rsid w:val="005B4275"/>
    <w:rsid w:val="005B4ABA"/>
    <w:rsid w:val="005B6410"/>
    <w:rsid w:val="005C276E"/>
    <w:rsid w:val="005C2B0E"/>
    <w:rsid w:val="005C2D3C"/>
    <w:rsid w:val="005C32B0"/>
    <w:rsid w:val="005C3507"/>
    <w:rsid w:val="005C6666"/>
    <w:rsid w:val="005C671A"/>
    <w:rsid w:val="005C779E"/>
    <w:rsid w:val="005D0915"/>
    <w:rsid w:val="005D2463"/>
    <w:rsid w:val="005D3542"/>
    <w:rsid w:val="005D3AC9"/>
    <w:rsid w:val="005E04CB"/>
    <w:rsid w:val="005E09F4"/>
    <w:rsid w:val="005E1781"/>
    <w:rsid w:val="005F1C13"/>
    <w:rsid w:val="005F2A1C"/>
    <w:rsid w:val="00600A4D"/>
    <w:rsid w:val="00602C0C"/>
    <w:rsid w:val="00603709"/>
    <w:rsid w:val="00604091"/>
    <w:rsid w:val="0060539B"/>
    <w:rsid w:val="00607185"/>
    <w:rsid w:val="00607528"/>
    <w:rsid w:val="00607965"/>
    <w:rsid w:val="00607A23"/>
    <w:rsid w:val="006103A7"/>
    <w:rsid w:val="00610C19"/>
    <w:rsid w:val="00612190"/>
    <w:rsid w:val="00615899"/>
    <w:rsid w:val="006164D6"/>
    <w:rsid w:val="006221B3"/>
    <w:rsid w:val="006222EB"/>
    <w:rsid w:val="00623B71"/>
    <w:rsid w:val="00623CCB"/>
    <w:rsid w:val="00623DD4"/>
    <w:rsid w:val="006262D3"/>
    <w:rsid w:val="00627424"/>
    <w:rsid w:val="00627E8C"/>
    <w:rsid w:val="00630E79"/>
    <w:rsid w:val="00631A3A"/>
    <w:rsid w:val="00632DC3"/>
    <w:rsid w:val="006345C3"/>
    <w:rsid w:val="00634B3D"/>
    <w:rsid w:val="0063532A"/>
    <w:rsid w:val="006367DF"/>
    <w:rsid w:val="006449FA"/>
    <w:rsid w:val="00644EAB"/>
    <w:rsid w:val="00645AF8"/>
    <w:rsid w:val="00645D3B"/>
    <w:rsid w:val="00646362"/>
    <w:rsid w:val="00652E3F"/>
    <w:rsid w:val="0065317C"/>
    <w:rsid w:val="006539BD"/>
    <w:rsid w:val="00654481"/>
    <w:rsid w:val="00654787"/>
    <w:rsid w:val="006555E1"/>
    <w:rsid w:val="00656E89"/>
    <w:rsid w:val="0065790C"/>
    <w:rsid w:val="00660911"/>
    <w:rsid w:val="006610D6"/>
    <w:rsid w:val="00662349"/>
    <w:rsid w:val="0066437B"/>
    <w:rsid w:val="006650AA"/>
    <w:rsid w:val="00667E09"/>
    <w:rsid w:val="00670793"/>
    <w:rsid w:val="006710A4"/>
    <w:rsid w:val="006747D7"/>
    <w:rsid w:val="00675A5C"/>
    <w:rsid w:val="00676F55"/>
    <w:rsid w:val="00677134"/>
    <w:rsid w:val="00683246"/>
    <w:rsid w:val="00683EF7"/>
    <w:rsid w:val="00684649"/>
    <w:rsid w:val="00687011"/>
    <w:rsid w:val="00687DCE"/>
    <w:rsid w:val="00690122"/>
    <w:rsid w:val="00691873"/>
    <w:rsid w:val="0069352A"/>
    <w:rsid w:val="00693855"/>
    <w:rsid w:val="00694D82"/>
    <w:rsid w:val="00695BFB"/>
    <w:rsid w:val="0069619B"/>
    <w:rsid w:val="006A0092"/>
    <w:rsid w:val="006A0579"/>
    <w:rsid w:val="006A1F7A"/>
    <w:rsid w:val="006A323F"/>
    <w:rsid w:val="006A38FC"/>
    <w:rsid w:val="006A3E34"/>
    <w:rsid w:val="006A721B"/>
    <w:rsid w:val="006A78BD"/>
    <w:rsid w:val="006A7926"/>
    <w:rsid w:val="006B0F0B"/>
    <w:rsid w:val="006B24C8"/>
    <w:rsid w:val="006B31BB"/>
    <w:rsid w:val="006B373A"/>
    <w:rsid w:val="006B7B69"/>
    <w:rsid w:val="006C08A6"/>
    <w:rsid w:val="006C17E8"/>
    <w:rsid w:val="006C2641"/>
    <w:rsid w:val="006C4C5A"/>
    <w:rsid w:val="006C5657"/>
    <w:rsid w:val="006C70F0"/>
    <w:rsid w:val="006C77C3"/>
    <w:rsid w:val="006D0F59"/>
    <w:rsid w:val="006D18BB"/>
    <w:rsid w:val="006D2311"/>
    <w:rsid w:val="006D2F33"/>
    <w:rsid w:val="006D3112"/>
    <w:rsid w:val="006D3679"/>
    <w:rsid w:val="006D40FC"/>
    <w:rsid w:val="006D6A11"/>
    <w:rsid w:val="006D7321"/>
    <w:rsid w:val="006E0796"/>
    <w:rsid w:val="006E36C7"/>
    <w:rsid w:val="006E6214"/>
    <w:rsid w:val="006E6DA6"/>
    <w:rsid w:val="006F3CCD"/>
    <w:rsid w:val="006F4770"/>
    <w:rsid w:val="006F4888"/>
    <w:rsid w:val="006F65D6"/>
    <w:rsid w:val="006F6C63"/>
    <w:rsid w:val="006F71A0"/>
    <w:rsid w:val="006F7E8F"/>
    <w:rsid w:val="007001EA"/>
    <w:rsid w:val="00701A90"/>
    <w:rsid w:val="00702199"/>
    <w:rsid w:val="00702436"/>
    <w:rsid w:val="00703D92"/>
    <w:rsid w:val="00706207"/>
    <w:rsid w:val="00706E43"/>
    <w:rsid w:val="00710800"/>
    <w:rsid w:val="00714961"/>
    <w:rsid w:val="00717C84"/>
    <w:rsid w:val="00722DEE"/>
    <w:rsid w:val="00723F26"/>
    <w:rsid w:val="007240A3"/>
    <w:rsid w:val="00724682"/>
    <w:rsid w:val="00730C86"/>
    <w:rsid w:val="00731EAC"/>
    <w:rsid w:val="00731F26"/>
    <w:rsid w:val="00735199"/>
    <w:rsid w:val="0073549C"/>
    <w:rsid w:val="00736DED"/>
    <w:rsid w:val="00736FC3"/>
    <w:rsid w:val="00741E94"/>
    <w:rsid w:val="00743717"/>
    <w:rsid w:val="00743DD8"/>
    <w:rsid w:val="00744AB0"/>
    <w:rsid w:val="00745118"/>
    <w:rsid w:val="007467BD"/>
    <w:rsid w:val="00750439"/>
    <w:rsid w:val="0075049C"/>
    <w:rsid w:val="00750AE4"/>
    <w:rsid w:val="00751787"/>
    <w:rsid w:val="007551B8"/>
    <w:rsid w:val="0075575C"/>
    <w:rsid w:val="00756BEC"/>
    <w:rsid w:val="00760082"/>
    <w:rsid w:val="00763096"/>
    <w:rsid w:val="007632F1"/>
    <w:rsid w:val="00764B8A"/>
    <w:rsid w:val="00765627"/>
    <w:rsid w:val="00765900"/>
    <w:rsid w:val="007672A7"/>
    <w:rsid w:val="00767FE4"/>
    <w:rsid w:val="00771514"/>
    <w:rsid w:val="007737FB"/>
    <w:rsid w:val="007737FD"/>
    <w:rsid w:val="00773958"/>
    <w:rsid w:val="00774DA1"/>
    <w:rsid w:val="007754BF"/>
    <w:rsid w:val="00775866"/>
    <w:rsid w:val="00775BBA"/>
    <w:rsid w:val="00776DEB"/>
    <w:rsid w:val="0078045F"/>
    <w:rsid w:val="00781728"/>
    <w:rsid w:val="007821DC"/>
    <w:rsid w:val="00782237"/>
    <w:rsid w:val="00784576"/>
    <w:rsid w:val="007874EB"/>
    <w:rsid w:val="007903E9"/>
    <w:rsid w:val="00790E9B"/>
    <w:rsid w:val="00790EB7"/>
    <w:rsid w:val="00790FC2"/>
    <w:rsid w:val="007911BF"/>
    <w:rsid w:val="00791B67"/>
    <w:rsid w:val="00792364"/>
    <w:rsid w:val="0079333D"/>
    <w:rsid w:val="00793EC5"/>
    <w:rsid w:val="00795EB6"/>
    <w:rsid w:val="00796D1E"/>
    <w:rsid w:val="00797361"/>
    <w:rsid w:val="00797399"/>
    <w:rsid w:val="0079775C"/>
    <w:rsid w:val="007A07EA"/>
    <w:rsid w:val="007A0800"/>
    <w:rsid w:val="007A1014"/>
    <w:rsid w:val="007A1424"/>
    <w:rsid w:val="007A1517"/>
    <w:rsid w:val="007A359D"/>
    <w:rsid w:val="007A7E2C"/>
    <w:rsid w:val="007A7EB3"/>
    <w:rsid w:val="007B1A2A"/>
    <w:rsid w:val="007B3A3D"/>
    <w:rsid w:val="007B5DB1"/>
    <w:rsid w:val="007B7F8D"/>
    <w:rsid w:val="007C173E"/>
    <w:rsid w:val="007C2629"/>
    <w:rsid w:val="007C3CC7"/>
    <w:rsid w:val="007C4A63"/>
    <w:rsid w:val="007C62ED"/>
    <w:rsid w:val="007C7181"/>
    <w:rsid w:val="007C7207"/>
    <w:rsid w:val="007D0409"/>
    <w:rsid w:val="007D1DE0"/>
    <w:rsid w:val="007D1EBA"/>
    <w:rsid w:val="007D223D"/>
    <w:rsid w:val="007D27FC"/>
    <w:rsid w:val="007D3EE8"/>
    <w:rsid w:val="007D6292"/>
    <w:rsid w:val="007E0858"/>
    <w:rsid w:val="007E09B2"/>
    <w:rsid w:val="007E185D"/>
    <w:rsid w:val="007E1CE8"/>
    <w:rsid w:val="007E320D"/>
    <w:rsid w:val="007E540D"/>
    <w:rsid w:val="007F3837"/>
    <w:rsid w:val="007F5223"/>
    <w:rsid w:val="007F60C1"/>
    <w:rsid w:val="007F60E2"/>
    <w:rsid w:val="007F71DD"/>
    <w:rsid w:val="007F76CB"/>
    <w:rsid w:val="008015A9"/>
    <w:rsid w:val="00801FB3"/>
    <w:rsid w:val="00804C4B"/>
    <w:rsid w:val="00805526"/>
    <w:rsid w:val="00810074"/>
    <w:rsid w:val="00810144"/>
    <w:rsid w:val="0081035D"/>
    <w:rsid w:val="00810444"/>
    <w:rsid w:val="00810AD0"/>
    <w:rsid w:val="00810D3A"/>
    <w:rsid w:val="00811689"/>
    <w:rsid w:val="00811DBF"/>
    <w:rsid w:val="00811F5F"/>
    <w:rsid w:val="008125F7"/>
    <w:rsid w:val="008137F9"/>
    <w:rsid w:val="00813C8F"/>
    <w:rsid w:val="008204D2"/>
    <w:rsid w:val="00823461"/>
    <w:rsid w:val="00823944"/>
    <w:rsid w:val="008244CD"/>
    <w:rsid w:val="00825EB3"/>
    <w:rsid w:val="00831203"/>
    <w:rsid w:val="008332E2"/>
    <w:rsid w:val="00834100"/>
    <w:rsid w:val="00834A86"/>
    <w:rsid w:val="00836899"/>
    <w:rsid w:val="00836E44"/>
    <w:rsid w:val="00842581"/>
    <w:rsid w:val="0084348A"/>
    <w:rsid w:val="00843C8F"/>
    <w:rsid w:val="00846E56"/>
    <w:rsid w:val="008476BC"/>
    <w:rsid w:val="00847D71"/>
    <w:rsid w:val="008531A5"/>
    <w:rsid w:val="008534A9"/>
    <w:rsid w:val="008546CB"/>
    <w:rsid w:val="00855E27"/>
    <w:rsid w:val="008601BE"/>
    <w:rsid w:val="008621A2"/>
    <w:rsid w:val="00862CBE"/>
    <w:rsid w:val="0086323D"/>
    <w:rsid w:val="00863779"/>
    <w:rsid w:val="00863AB9"/>
    <w:rsid w:val="0086415E"/>
    <w:rsid w:val="00864D88"/>
    <w:rsid w:val="00864FC1"/>
    <w:rsid w:val="00866571"/>
    <w:rsid w:val="008665AA"/>
    <w:rsid w:val="0087230B"/>
    <w:rsid w:val="00872532"/>
    <w:rsid w:val="008726B5"/>
    <w:rsid w:val="00873DB3"/>
    <w:rsid w:val="00874A5B"/>
    <w:rsid w:val="008762F9"/>
    <w:rsid w:val="00876C5F"/>
    <w:rsid w:val="00876CB3"/>
    <w:rsid w:val="0088055E"/>
    <w:rsid w:val="008817EF"/>
    <w:rsid w:val="00884CAC"/>
    <w:rsid w:val="00890AB1"/>
    <w:rsid w:val="008911FC"/>
    <w:rsid w:val="00893295"/>
    <w:rsid w:val="0089747A"/>
    <w:rsid w:val="00897833"/>
    <w:rsid w:val="008A012D"/>
    <w:rsid w:val="008A18C4"/>
    <w:rsid w:val="008A2119"/>
    <w:rsid w:val="008A2F1E"/>
    <w:rsid w:val="008A5F13"/>
    <w:rsid w:val="008A7FBE"/>
    <w:rsid w:val="008B02CF"/>
    <w:rsid w:val="008B1C68"/>
    <w:rsid w:val="008B333C"/>
    <w:rsid w:val="008B3635"/>
    <w:rsid w:val="008B3757"/>
    <w:rsid w:val="008B44C9"/>
    <w:rsid w:val="008B58FA"/>
    <w:rsid w:val="008B6D06"/>
    <w:rsid w:val="008B7773"/>
    <w:rsid w:val="008C15CE"/>
    <w:rsid w:val="008C2245"/>
    <w:rsid w:val="008C23DB"/>
    <w:rsid w:val="008C33E8"/>
    <w:rsid w:val="008C42E7"/>
    <w:rsid w:val="008C467A"/>
    <w:rsid w:val="008C4C1D"/>
    <w:rsid w:val="008C5FF9"/>
    <w:rsid w:val="008C6ABF"/>
    <w:rsid w:val="008D1336"/>
    <w:rsid w:val="008D1552"/>
    <w:rsid w:val="008D18BE"/>
    <w:rsid w:val="008D1CA2"/>
    <w:rsid w:val="008D339D"/>
    <w:rsid w:val="008D3B59"/>
    <w:rsid w:val="008D4E75"/>
    <w:rsid w:val="008D7239"/>
    <w:rsid w:val="008E053B"/>
    <w:rsid w:val="008E0BE4"/>
    <w:rsid w:val="008E1B1F"/>
    <w:rsid w:val="008E637B"/>
    <w:rsid w:val="008E6FF4"/>
    <w:rsid w:val="008F2597"/>
    <w:rsid w:val="008F2953"/>
    <w:rsid w:val="008F3344"/>
    <w:rsid w:val="008F4B34"/>
    <w:rsid w:val="008F4BA2"/>
    <w:rsid w:val="008F4BDD"/>
    <w:rsid w:val="008F5573"/>
    <w:rsid w:val="008F751D"/>
    <w:rsid w:val="00900F65"/>
    <w:rsid w:val="00902540"/>
    <w:rsid w:val="00902C08"/>
    <w:rsid w:val="0090374D"/>
    <w:rsid w:val="00903829"/>
    <w:rsid w:val="00904189"/>
    <w:rsid w:val="00905CEC"/>
    <w:rsid w:val="00906DE9"/>
    <w:rsid w:val="009101C8"/>
    <w:rsid w:val="00911F69"/>
    <w:rsid w:val="00912E82"/>
    <w:rsid w:val="00914483"/>
    <w:rsid w:val="0091449E"/>
    <w:rsid w:val="009153B4"/>
    <w:rsid w:val="00915E34"/>
    <w:rsid w:val="0092108C"/>
    <w:rsid w:val="00921FF8"/>
    <w:rsid w:val="0092388F"/>
    <w:rsid w:val="00924AE7"/>
    <w:rsid w:val="00925E6D"/>
    <w:rsid w:val="00926667"/>
    <w:rsid w:val="00932D86"/>
    <w:rsid w:val="00933F59"/>
    <w:rsid w:val="00934F15"/>
    <w:rsid w:val="0093613E"/>
    <w:rsid w:val="00936DE4"/>
    <w:rsid w:val="00941421"/>
    <w:rsid w:val="009414DE"/>
    <w:rsid w:val="00941C65"/>
    <w:rsid w:val="009421D9"/>
    <w:rsid w:val="00942563"/>
    <w:rsid w:val="00943C64"/>
    <w:rsid w:val="00945B84"/>
    <w:rsid w:val="009478F2"/>
    <w:rsid w:val="00947A8D"/>
    <w:rsid w:val="00950C8C"/>
    <w:rsid w:val="00951384"/>
    <w:rsid w:val="009521F6"/>
    <w:rsid w:val="00952CF5"/>
    <w:rsid w:val="0095314F"/>
    <w:rsid w:val="00953A65"/>
    <w:rsid w:val="009546AA"/>
    <w:rsid w:val="009573CD"/>
    <w:rsid w:val="00957833"/>
    <w:rsid w:val="00964256"/>
    <w:rsid w:val="0096425D"/>
    <w:rsid w:val="0096473D"/>
    <w:rsid w:val="00964C74"/>
    <w:rsid w:val="00967D5E"/>
    <w:rsid w:val="009756B3"/>
    <w:rsid w:val="009768AC"/>
    <w:rsid w:val="0098021A"/>
    <w:rsid w:val="00981D81"/>
    <w:rsid w:val="0098259F"/>
    <w:rsid w:val="00982E92"/>
    <w:rsid w:val="009837DC"/>
    <w:rsid w:val="009838BC"/>
    <w:rsid w:val="00983AEC"/>
    <w:rsid w:val="00983D01"/>
    <w:rsid w:val="00984454"/>
    <w:rsid w:val="00987429"/>
    <w:rsid w:val="00987BD3"/>
    <w:rsid w:val="00987C37"/>
    <w:rsid w:val="009936F2"/>
    <w:rsid w:val="00993C79"/>
    <w:rsid w:val="009A0967"/>
    <w:rsid w:val="009A0DBC"/>
    <w:rsid w:val="009A3002"/>
    <w:rsid w:val="009A3C3E"/>
    <w:rsid w:val="009A7551"/>
    <w:rsid w:val="009A7C4E"/>
    <w:rsid w:val="009B383F"/>
    <w:rsid w:val="009B40DC"/>
    <w:rsid w:val="009B63CD"/>
    <w:rsid w:val="009B643B"/>
    <w:rsid w:val="009B695D"/>
    <w:rsid w:val="009C1462"/>
    <w:rsid w:val="009C1A83"/>
    <w:rsid w:val="009C1D38"/>
    <w:rsid w:val="009C4DD4"/>
    <w:rsid w:val="009C54EF"/>
    <w:rsid w:val="009C6DE0"/>
    <w:rsid w:val="009D07C7"/>
    <w:rsid w:val="009D0A7D"/>
    <w:rsid w:val="009D1E6E"/>
    <w:rsid w:val="009D2EFD"/>
    <w:rsid w:val="009D3A6F"/>
    <w:rsid w:val="009D5EC2"/>
    <w:rsid w:val="009D77E4"/>
    <w:rsid w:val="009E180C"/>
    <w:rsid w:val="009E3FF5"/>
    <w:rsid w:val="009E4741"/>
    <w:rsid w:val="009E6445"/>
    <w:rsid w:val="009E6486"/>
    <w:rsid w:val="009E6506"/>
    <w:rsid w:val="009E6586"/>
    <w:rsid w:val="009F08D7"/>
    <w:rsid w:val="009F12A1"/>
    <w:rsid w:val="009F23B9"/>
    <w:rsid w:val="009F2470"/>
    <w:rsid w:val="009F2C32"/>
    <w:rsid w:val="009F4B80"/>
    <w:rsid w:val="009F58C5"/>
    <w:rsid w:val="009F64F4"/>
    <w:rsid w:val="009F7450"/>
    <w:rsid w:val="00A01CED"/>
    <w:rsid w:val="00A020A1"/>
    <w:rsid w:val="00A0301A"/>
    <w:rsid w:val="00A04DB0"/>
    <w:rsid w:val="00A05162"/>
    <w:rsid w:val="00A10489"/>
    <w:rsid w:val="00A10C53"/>
    <w:rsid w:val="00A123BD"/>
    <w:rsid w:val="00A128C2"/>
    <w:rsid w:val="00A1696B"/>
    <w:rsid w:val="00A17F20"/>
    <w:rsid w:val="00A21307"/>
    <w:rsid w:val="00A2172D"/>
    <w:rsid w:val="00A21A07"/>
    <w:rsid w:val="00A21C9D"/>
    <w:rsid w:val="00A23C62"/>
    <w:rsid w:val="00A250B5"/>
    <w:rsid w:val="00A26235"/>
    <w:rsid w:val="00A30975"/>
    <w:rsid w:val="00A30DBD"/>
    <w:rsid w:val="00A31C36"/>
    <w:rsid w:val="00A325C2"/>
    <w:rsid w:val="00A335B0"/>
    <w:rsid w:val="00A33DD9"/>
    <w:rsid w:val="00A354E2"/>
    <w:rsid w:val="00A357C1"/>
    <w:rsid w:val="00A372F3"/>
    <w:rsid w:val="00A4121E"/>
    <w:rsid w:val="00A4162B"/>
    <w:rsid w:val="00A4275E"/>
    <w:rsid w:val="00A447B0"/>
    <w:rsid w:val="00A448BD"/>
    <w:rsid w:val="00A5545B"/>
    <w:rsid w:val="00A55A7A"/>
    <w:rsid w:val="00A57236"/>
    <w:rsid w:val="00A60BA4"/>
    <w:rsid w:val="00A61E87"/>
    <w:rsid w:val="00A61F85"/>
    <w:rsid w:val="00A62549"/>
    <w:rsid w:val="00A62DBD"/>
    <w:rsid w:val="00A63198"/>
    <w:rsid w:val="00A65507"/>
    <w:rsid w:val="00A6709F"/>
    <w:rsid w:val="00A67F99"/>
    <w:rsid w:val="00A70654"/>
    <w:rsid w:val="00A706A4"/>
    <w:rsid w:val="00A71533"/>
    <w:rsid w:val="00A7209C"/>
    <w:rsid w:val="00A72650"/>
    <w:rsid w:val="00A72AA2"/>
    <w:rsid w:val="00A741CC"/>
    <w:rsid w:val="00A75167"/>
    <w:rsid w:val="00A764EF"/>
    <w:rsid w:val="00A80152"/>
    <w:rsid w:val="00A80499"/>
    <w:rsid w:val="00A80614"/>
    <w:rsid w:val="00A80673"/>
    <w:rsid w:val="00A80A21"/>
    <w:rsid w:val="00A81252"/>
    <w:rsid w:val="00A814F0"/>
    <w:rsid w:val="00A81875"/>
    <w:rsid w:val="00A81912"/>
    <w:rsid w:val="00A842E3"/>
    <w:rsid w:val="00A84DE7"/>
    <w:rsid w:val="00A85201"/>
    <w:rsid w:val="00A86194"/>
    <w:rsid w:val="00A90178"/>
    <w:rsid w:val="00A906C9"/>
    <w:rsid w:val="00A9095C"/>
    <w:rsid w:val="00A90E4C"/>
    <w:rsid w:val="00A911A6"/>
    <w:rsid w:val="00A91F96"/>
    <w:rsid w:val="00A93F64"/>
    <w:rsid w:val="00A942D1"/>
    <w:rsid w:val="00A962E2"/>
    <w:rsid w:val="00A96D32"/>
    <w:rsid w:val="00A96DC3"/>
    <w:rsid w:val="00AA04DF"/>
    <w:rsid w:val="00AA06F3"/>
    <w:rsid w:val="00AA20C5"/>
    <w:rsid w:val="00AA2680"/>
    <w:rsid w:val="00AA289C"/>
    <w:rsid w:val="00AA2C62"/>
    <w:rsid w:val="00AA46FD"/>
    <w:rsid w:val="00AA4C9F"/>
    <w:rsid w:val="00AA6881"/>
    <w:rsid w:val="00AB03D9"/>
    <w:rsid w:val="00AB1F91"/>
    <w:rsid w:val="00AB3D99"/>
    <w:rsid w:val="00AB5439"/>
    <w:rsid w:val="00AB58BA"/>
    <w:rsid w:val="00AB768E"/>
    <w:rsid w:val="00AC103B"/>
    <w:rsid w:val="00AC28A6"/>
    <w:rsid w:val="00AC416F"/>
    <w:rsid w:val="00AC4FB5"/>
    <w:rsid w:val="00AC5493"/>
    <w:rsid w:val="00AC6BDD"/>
    <w:rsid w:val="00AC6DA6"/>
    <w:rsid w:val="00AC77A8"/>
    <w:rsid w:val="00AC7905"/>
    <w:rsid w:val="00AD08FE"/>
    <w:rsid w:val="00AD215F"/>
    <w:rsid w:val="00AD2E7C"/>
    <w:rsid w:val="00AD5603"/>
    <w:rsid w:val="00AD6F9A"/>
    <w:rsid w:val="00AD72FF"/>
    <w:rsid w:val="00AE40EE"/>
    <w:rsid w:val="00AE5586"/>
    <w:rsid w:val="00AE6091"/>
    <w:rsid w:val="00AE6903"/>
    <w:rsid w:val="00AF0DAA"/>
    <w:rsid w:val="00AF42C1"/>
    <w:rsid w:val="00AF6577"/>
    <w:rsid w:val="00AF6F37"/>
    <w:rsid w:val="00B00895"/>
    <w:rsid w:val="00B00CE3"/>
    <w:rsid w:val="00B01EEA"/>
    <w:rsid w:val="00B050FF"/>
    <w:rsid w:val="00B05469"/>
    <w:rsid w:val="00B06C9B"/>
    <w:rsid w:val="00B0708F"/>
    <w:rsid w:val="00B07DC4"/>
    <w:rsid w:val="00B10017"/>
    <w:rsid w:val="00B12D69"/>
    <w:rsid w:val="00B12E4A"/>
    <w:rsid w:val="00B201B8"/>
    <w:rsid w:val="00B212F3"/>
    <w:rsid w:val="00B21369"/>
    <w:rsid w:val="00B2389D"/>
    <w:rsid w:val="00B24CC2"/>
    <w:rsid w:val="00B24CCC"/>
    <w:rsid w:val="00B24DC9"/>
    <w:rsid w:val="00B25794"/>
    <w:rsid w:val="00B26C07"/>
    <w:rsid w:val="00B27DC6"/>
    <w:rsid w:val="00B302B3"/>
    <w:rsid w:val="00B31EFC"/>
    <w:rsid w:val="00B32540"/>
    <w:rsid w:val="00B333FD"/>
    <w:rsid w:val="00B33E40"/>
    <w:rsid w:val="00B34673"/>
    <w:rsid w:val="00B352B9"/>
    <w:rsid w:val="00B37F13"/>
    <w:rsid w:val="00B41570"/>
    <w:rsid w:val="00B426E1"/>
    <w:rsid w:val="00B44379"/>
    <w:rsid w:val="00B443F8"/>
    <w:rsid w:val="00B459CD"/>
    <w:rsid w:val="00B45C7E"/>
    <w:rsid w:val="00B46E19"/>
    <w:rsid w:val="00B46FC7"/>
    <w:rsid w:val="00B47B63"/>
    <w:rsid w:val="00B502C2"/>
    <w:rsid w:val="00B5085D"/>
    <w:rsid w:val="00B51606"/>
    <w:rsid w:val="00B5215B"/>
    <w:rsid w:val="00B52D90"/>
    <w:rsid w:val="00B53094"/>
    <w:rsid w:val="00B55125"/>
    <w:rsid w:val="00B57273"/>
    <w:rsid w:val="00B57967"/>
    <w:rsid w:val="00B605A7"/>
    <w:rsid w:val="00B60E2B"/>
    <w:rsid w:val="00B627A0"/>
    <w:rsid w:val="00B644DC"/>
    <w:rsid w:val="00B67CF6"/>
    <w:rsid w:val="00B728B3"/>
    <w:rsid w:val="00B7296A"/>
    <w:rsid w:val="00B73F17"/>
    <w:rsid w:val="00B74220"/>
    <w:rsid w:val="00B749B4"/>
    <w:rsid w:val="00B77884"/>
    <w:rsid w:val="00B807FE"/>
    <w:rsid w:val="00B814C6"/>
    <w:rsid w:val="00B81F0A"/>
    <w:rsid w:val="00B826F5"/>
    <w:rsid w:val="00B8288D"/>
    <w:rsid w:val="00B87287"/>
    <w:rsid w:val="00B90FA2"/>
    <w:rsid w:val="00B916B9"/>
    <w:rsid w:val="00B9198B"/>
    <w:rsid w:val="00B91B8E"/>
    <w:rsid w:val="00B93C1F"/>
    <w:rsid w:val="00B95F2C"/>
    <w:rsid w:val="00B9624F"/>
    <w:rsid w:val="00B96BED"/>
    <w:rsid w:val="00B974C2"/>
    <w:rsid w:val="00B977A4"/>
    <w:rsid w:val="00BA1A72"/>
    <w:rsid w:val="00BA1BBD"/>
    <w:rsid w:val="00BA29B5"/>
    <w:rsid w:val="00BA2BE6"/>
    <w:rsid w:val="00BA3A07"/>
    <w:rsid w:val="00BA3CE6"/>
    <w:rsid w:val="00BA549A"/>
    <w:rsid w:val="00BA6045"/>
    <w:rsid w:val="00BA60DB"/>
    <w:rsid w:val="00BA73B2"/>
    <w:rsid w:val="00BB133F"/>
    <w:rsid w:val="00BB1D64"/>
    <w:rsid w:val="00BB38A5"/>
    <w:rsid w:val="00BB58CD"/>
    <w:rsid w:val="00BB69D5"/>
    <w:rsid w:val="00BB6B82"/>
    <w:rsid w:val="00BB795E"/>
    <w:rsid w:val="00BB7AA1"/>
    <w:rsid w:val="00BB7D1F"/>
    <w:rsid w:val="00BC01E9"/>
    <w:rsid w:val="00BC13D7"/>
    <w:rsid w:val="00BC2E7A"/>
    <w:rsid w:val="00BC4CD3"/>
    <w:rsid w:val="00BC5EC1"/>
    <w:rsid w:val="00BC67E8"/>
    <w:rsid w:val="00BC7A01"/>
    <w:rsid w:val="00BD1D76"/>
    <w:rsid w:val="00BD3656"/>
    <w:rsid w:val="00BD3730"/>
    <w:rsid w:val="00BD3A5E"/>
    <w:rsid w:val="00BD592E"/>
    <w:rsid w:val="00BD613D"/>
    <w:rsid w:val="00BD6576"/>
    <w:rsid w:val="00BD74C6"/>
    <w:rsid w:val="00BD7A9A"/>
    <w:rsid w:val="00BD7CE8"/>
    <w:rsid w:val="00BE0679"/>
    <w:rsid w:val="00BE15D9"/>
    <w:rsid w:val="00BE16BD"/>
    <w:rsid w:val="00BE36F5"/>
    <w:rsid w:val="00BE47CC"/>
    <w:rsid w:val="00BE7CF2"/>
    <w:rsid w:val="00BF06F9"/>
    <w:rsid w:val="00BF3491"/>
    <w:rsid w:val="00BF350E"/>
    <w:rsid w:val="00BF3C51"/>
    <w:rsid w:val="00BF467F"/>
    <w:rsid w:val="00BF5690"/>
    <w:rsid w:val="00BF7528"/>
    <w:rsid w:val="00C00B6D"/>
    <w:rsid w:val="00C06003"/>
    <w:rsid w:val="00C064E0"/>
    <w:rsid w:val="00C066C2"/>
    <w:rsid w:val="00C06D1F"/>
    <w:rsid w:val="00C07DB5"/>
    <w:rsid w:val="00C105AD"/>
    <w:rsid w:val="00C10A64"/>
    <w:rsid w:val="00C1595E"/>
    <w:rsid w:val="00C15C01"/>
    <w:rsid w:val="00C16095"/>
    <w:rsid w:val="00C17746"/>
    <w:rsid w:val="00C20A7C"/>
    <w:rsid w:val="00C20B18"/>
    <w:rsid w:val="00C20D07"/>
    <w:rsid w:val="00C21C59"/>
    <w:rsid w:val="00C25F18"/>
    <w:rsid w:val="00C27334"/>
    <w:rsid w:val="00C278F4"/>
    <w:rsid w:val="00C27E70"/>
    <w:rsid w:val="00C27E90"/>
    <w:rsid w:val="00C32F1F"/>
    <w:rsid w:val="00C33543"/>
    <w:rsid w:val="00C33B7A"/>
    <w:rsid w:val="00C342EB"/>
    <w:rsid w:val="00C40666"/>
    <w:rsid w:val="00C44BCC"/>
    <w:rsid w:val="00C44E03"/>
    <w:rsid w:val="00C466A0"/>
    <w:rsid w:val="00C47764"/>
    <w:rsid w:val="00C47B15"/>
    <w:rsid w:val="00C47CA4"/>
    <w:rsid w:val="00C523FB"/>
    <w:rsid w:val="00C5340C"/>
    <w:rsid w:val="00C544BF"/>
    <w:rsid w:val="00C558EF"/>
    <w:rsid w:val="00C56D93"/>
    <w:rsid w:val="00C57C03"/>
    <w:rsid w:val="00C6056A"/>
    <w:rsid w:val="00C60F8A"/>
    <w:rsid w:val="00C6213D"/>
    <w:rsid w:val="00C62854"/>
    <w:rsid w:val="00C62F8C"/>
    <w:rsid w:val="00C637B9"/>
    <w:rsid w:val="00C65CC3"/>
    <w:rsid w:val="00C66F00"/>
    <w:rsid w:val="00C670C0"/>
    <w:rsid w:val="00C67820"/>
    <w:rsid w:val="00C705A8"/>
    <w:rsid w:val="00C72CF0"/>
    <w:rsid w:val="00C74171"/>
    <w:rsid w:val="00C755A3"/>
    <w:rsid w:val="00C75D25"/>
    <w:rsid w:val="00C76CAA"/>
    <w:rsid w:val="00C803BF"/>
    <w:rsid w:val="00C821F3"/>
    <w:rsid w:val="00C82C64"/>
    <w:rsid w:val="00C832CC"/>
    <w:rsid w:val="00C8474D"/>
    <w:rsid w:val="00C8555B"/>
    <w:rsid w:val="00C91BD3"/>
    <w:rsid w:val="00C91FE1"/>
    <w:rsid w:val="00C97946"/>
    <w:rsid w:val="00C97FED"/>
    <w:rsid w:val="00CA0E3E"/>
    <w:rsid w:val="00CA1997"/>
    <w:rsid w:val="00CA29F3"/>
    <w:rsid w:val="00CA2A74"/>
    <w:rsid w:val="00CA3585"/>
    <w:rsid w:val="00CA431E"/>
    <w:rsid w:val="00CA45D2"/>
    <w:rsid w:val="00CA5231"/>
    <w:rsid w:val="00CA593F"/>
    <w:rsid w:val="00CA6042"/>
    <w:rsid w:val="00CA6A02"/>
    <w:rsid w:val="00CB045C"/>
    <w:rsid w:val="00CB3820"/>
    <w:rsid w:val="00CB579D"/>
    <w:rsid w:val="00CB5D82"/>
    <w:rsid w:val="00CB631B"/>
    <w:rsid w:val="00CB7FCD"/>
    <w:rsid w:val="00CC0727"/>
    <w:rsid w:val="00CC460F"/>
    <w:rsid w:val="00CC4E1A"/>
    <w:rsid w:val="00CC5F36"/>
    <w:rsid w:val="00CC66E5"/>
    <w:rsid w:val="00CC7C6C"/>
    <w:rsid w:val="00CD25FF"/>
    <w:rsid w:val="00CD384A"/>
    <w:rsid w:val="00CD3CD0"/>
    <w:rsid w:val="00CD3D1C"/>
    <w:rsid w:val="00CD4B24"/>
    <w:rsid w:val="00CD5912"/>
    <w:rsid w:val="00CD5B78"/>
    <w:rsid w:val="00CE0788"/>
    <w:rsid w:val="00CE0A27"/>
    <w:rsid w:val="00CE2CA1"/>
    <w:rsid w:val="00CE2F66"/>
    <w:rsid w:val="00CE3F6D"/>
    <w:rsid w:val="00CE5787"/>
    <w:rsid w:val="00CE60B9"/>
    <w:rsid w:val="00CE65DF"/>
    <w:rsid w:val="00CE69A3"/>
    <w:rsid w:val="00CE7911"/>
    <w:rsid w:val="00CF0DA8"/>
    <w:rsid w:val="00CF1740"/>
    <w:rsid w:val="00CF1846"/>
    <w:rsid w:val="00CF38A1"/>
    <w:rsid w:val="00CF43DE"/>
    <w:rsid w:val="00CF490A"/>
    <w:rsid w:val="00CF548C"/>
    <w:rsid w:val="00CF5DED"/>
    <w:rsid w:val="00D00CA7"/>
    <w:rsid w:val="00D03928"/>
    <w:rsid w:val="00D05237"/>
    <w:rsid w:val="00D05660"/>
    <w:rsid w:val="00D11DF1"/>
    <w:rsid w:val="00D12D12"/>
    <w:rsid w:val="00D141DD"/>
    <w:rsid w:val="00D15B2A"/>
    <w:rsid w:val="00D20EF7"/>
    <w:rsid w:val="00D22381"/>
    <w:rsid w:val="00D267BB"/>
    <w:rsid w:val="00D268E8"/>
    <w:rsid w:val="00D309CE"/>
    <w:rsid w:val="00D317F6"/>
    <w:rsid w:val="00D32159"/>
    <w:rsid w:val="00D337A2"/>
    <w:rsid w:val="00D3471F"/>
    <w:rsid w:val="00D356C0"/>
    <w:rsid w:val="00D35B57"/>
    <w:rsid w:val="00D36776"/>
    <w:rsid w:val="00D40275"/>
    <w:rsid w:val="00D41977"/>
    <w:rsid w:val="00D4448A"/>
    <w:rsid w:val="00D45AF7"/>
    <w:rsid w:val="00D461E5"/>
    <w:rsid w:val="00D4646B"/>
    <w:rsid w:val="00D46D2B"/>
    <w:rsid w:val="00D50CDE"/>
    <w:rsid w:val="00D50FF5"/>
    <w:rsid w:val="00D52432"/>
    <w:rsid w:val="00D53325"/>
    <w:rsid w:val="00D55907"/>
    <w:rsid w:val="00D56A24"/>
    <w:rsid w:val="00D602EF"/>
    <w:rsid w:val="00D612DD"/>
    <w:rsid w:val="00D616D3"/>
    <w:rsid w:val="00D620C7"/>
    <w:rsid w:val="00D6310C"/>
    <w:rsid w:val="00D640A4"/>
    <w:rsid w:val="00D66758"/>
    <w:rsid w:val="00D66D12"/>
    <w:rsid w:val="00D72EBD"/>
    <w:rsid w:val="00D735F0"/>
    <w:rsid w:val="00D73E66"/>
    <w:rsid w:val="00D74E09"/>
    <w:rsid w:val="00D75244"/>
    <w:rsid w:val="00D76E10"/>
    <w:rsid w:val="00D77B98"/>
    <w:rsid w:val="00D813AD"/>
    <w:rsid w:val="00D837A0"/>
    <w:rsid w:val="00D83A5C"/>
    <w:rsid w:val="00D84A37"/>
    <w:rsid w:val="00D853A0"/>
    <w:rsid w:val="00D871A1"/>
    <w:rsid w:val="00D87B45"/>
    <w:rsid w:val="00D87FAD"/>
    <w:rsid w:val="00D90B8F"/>
    <w:rsid w:val="00D92E00"/>
    <w:rsid w:val="00D92EE6"/>
    <w:rsid w:val="00D94469"/>
    <w:rsid w:val="00D95EF8"/>
    <w:rsid w:val="00DA1080"/>
    <w:rsid w:val="00DA2E7B"/>
    <w:rsid w:val="00DA30E8"/>
    <w:rsid w:val="00DA6045"/>
    <w:rsid w:val="00DA701D"/>
    <w:rsid w:val="00DA747F"/>
    <w:rsid w:val="00DA7F9C"/>
    <w:rsid w:val="00DB1788"/>
    <w:rsid w:val="00DB416F"/>
    <w:rsid w:val="00DB6BB6"/>
    <w:rsid w:val="00DB6D2D"/>
    <w:rsid w:val="00DB71AF"/>
    <w:rsid w:val="00DB7EB0"/>
    <w:rsid w:val="00DC267A"/>
    <w:rsid w:val="00DC3399"/>
    <w:rsid w:val="00DC3D16"/>
    <w:rsid w:val="00DC4C19"/>
    <w:rsid w:val="00DC51D3"/>
    <w:rsid w:val="00DC6762"/>
    <w:rsid w:val="00DD3495"/>
    <w:rsid w:val="00DD3C2E"/>
    <w:rsid w:val="00DD473D"/>
    <w:rsid w:val="00DD5569"/>
    <w:rsid w:val="00DD563F"/>
    <w:rsid w:val="00DD6564"/>
    <w:rsid w:val="00DD7534"/>
    <w:rsid w:val="00DD77EE"/>
    <w:rsid w:val="00DE274B"/>
    <w:rsid w:val="00DE3362"/>
    <w:rsid w:val="00DE7976"/>
    <w:rsid w:val="00DE7A74"/>
    <w:rsid w:val="00DE7DB8"/>
    <w:rsid w:val="00DF11EA"/>
    <w:rsid w:val="00DF3A5B"/>
    <w:rsid w:val="00DF4625"/>
    <w:rsid w:val="00DF59B2"/>
    <w:rsid w:val="00DF6AE3"/>
    <w:rsid w:val="00DF78EF"/>
    <w:rsid w:val="00DF7CBD"/>
    <w:rsid w:val="00E00319"/>
    <w:rsid w:val="00E00E3E"/>
    <w:rsid w:val="00E0102B"/>
    <w:rsid w:val="00E01123"/>
    <w:rsid w:val="00E013FC"/>
    <w:rsid w:val="00E0196D"/>
    <w:rsid w:val="00E04436"/>
    <w:rsid w:val="00E1368A"/>
    <w:rsid w:val="00E15D67"/>
    <w:rsid w:val="00E15EC6"/>
    <w:rsid w:val="00E176B2"/>
    <w:rsid w:val="00E211CF"/>
    <w:rsid w:val="00E2160F"/>
    <w:rsid w:val="00E24760"/>
    <w:rsid w:val="00E3107C"/>
    <w:rsid w:val="00E31715"/>
    <w:rsid w:val="00E32649"/>
    <w:rsid w:val="00E41FF3"/>
    <w:rsid w:val="00E43294"/>
    <w:rsid w:val="00E439C7"/>
    <w:rsid w:val="00E43E69"/>
    <w:rsid w:val="00E444CC"/>
    <w:rsid w:val="00E46DD5"/>
    <w:rsid w:val="00E4712F"/>
    <w:rsid w:val="00E50656"/>
    <w:rsid w:val="00E50DB2"/>
    <w:rsid w:val="00E515E6"/>
    <w:rsid w:val="00E51655"/>
    <w:rsid w:val="00E53159"/>
    <w:rsid w:val="00E55234"/>
    <w:rsid w:val="00E55BBA"/>
    <w:rsid w:val="00E55F9D"/>
    <w:rsid w:val="00E569DC"/>
    <w:rsid w:val="00E5795A"/>
    <w:rsid w:val="00E60762"/>
    <w:rsid w:val="00E60EA3"/>
    <w:rsid w:val="00E63DF3"/>
    <w:rsid w:val="00E65D59"/>
    <w:rsid w:val="00E66A7B"/>
    <w:rsid w:val="00E7003C"/>
    <w:rsid w:val="00E72F78"/>
    <w:rsid w:val="00E75683"/>
    <w:rsid w:val="00E776B5"/>
    <w:rsid w:val="00E80CDD"/>
    <w:rsid w:val="00E81766"/>
    <w:rsid w:val="00E82A73"/>
    <w:rsid w:val="00E8419D"/>
    <w:rsid w:val="00E8526C"/>
    <w:rsid w:val="00E85592"/>
    <w:rsid w:val="00E86A11"/>
    <w:rsid w:val="00E87519"/>
    <w:rsid w:val="00E903BC"/>
    <w:rsid w:val="00E90BDE"/>
    <w:rsid w:val="00E9568C"/>
    <w:rsid w:val="00E9618B"/>
    <w:rsid w:val="00E97178"/>
    <w:rsid w:val="00EA15C3"/>
    <w:rsid w:val="00EA225A"/>
    <w:rsid w:val="00EA2886"/>
    <w:rsid w:val="00EA2A7C"/>
    <w:rsid w:val="00EA36CC"/>
    <w:rsid w:val="00EA4442"/>
    <w:rsid w:val="00EA4F56"/>
    <w:rsid w:val="00EA76FC"/>
    <w:rsid w:val="00EB0AE4"/>
    <w:rsid w:val="00EB321D"/>
    <w:rsid w:val="00EC2976"/>
    <w:rsid w:val="00EC4BF5"/>
    <w:rsid w:val="00EC54FD"/>
    <w:rsid w:val="00EC6E83"/>
    <w:rsid w:val="00ED037C"/>
    <w:rsid w:val="00ED1307"/>
    <w:rsid w:val="00ED7932"/>
    <w:rsid w:val="00EE2394"/>
    <w:rsid w:val="00EE4913"/>
    <w:rsid w:val="00EE49BA"/>
    <w:rsid w:val="00EE5045"/>
    <w:rsid w:val="00EE5F5D"/>
    <w:rsid w:val="00EE6598"/>
    <w:rsid w:val="00EE79A9"/>
    <w:rsid w:val="00EF0422"/>
    <w:rsid w:val="00EF1CB7"/>
    <w:rsid w:val="00EF461E"/>
    <w:rsid w:val="00F00D31"/>
    <w:rsid w:val="00F00EC0"/>
    <w:rsid w:val="00F0104F"/>
    <w:rsid w:val="00F02541"/>
    <w:rsid w:val="00F02674"/>
    <w:rsid w:val="00F03A00"/>
    <w:rsid w:val="00F04009"/>
    <w:rsid w:val="00F06B43"/>
    <w:rsid w:val="00F06CB9"/>
    <w:rsid w:val="00F125F4"/>
    <w:rsid w:val="00F129C1"/>
    <w:rsid w:val="00F14DDE"/>
    <w:rsid w:val="00F15570"/>
    <w:rsid w:val="00F17339"/>
    <w:rsid w:val="00F17D73"/>
    <w:rsid w:val="00F20328"/>
    <w:rsid w:val="00F2343A"/>
    <w:rsid w:val="00F23DA3"/>
    <w:rsid w:val="00F24257"/>
    <w:rsid w:val="00F24269"/>
    <w:rsid w:val="00F25378"/>
    <w:rsid w:val="00F25ED7"/>
    <w:rsid w:val="00F2609E"/>
    <w:rsid w:val="00F26FC8"/>
    <w:rsid w:val="00F27A59"/>
    <w:rsid w:val="00F27BEF"/>
    <w:rsid w:val="00F3405C"/>
    <w:rsid w:val="00F35D9A"/>
    <w:rsid w:val="00F369F4"/>
    <w:rsid w:val="00F36BC2"/>
    <w:rsid w:val="00F37412"/>
    <w:rsid w:val="00F37BDF"/>
    <w:rsid w:val="00F423FE"/>
    <w:rsid w:val="00F43ED9"/>
    <w:rsid w:val="00F44B11"/>
    <w:rsid w:val="00F466A4"/>
    <w:rsid w:val="00F47057"/>
    <w:rsid w:val="00F50CEE"/>
    <w:rsid w:val="00F50EBA"/>
    <w:rsid w:val="00F513D3"/>
    <w:rsid w:val="00F5211C"/>
    <w:rsid w:val="00F541C2"/>
    <w:rsid w:val="00F54B48"/>
    <w:rsid w:val="00F551E6"/>
    <w:rsid w:val="00F55E89"/>
    <w:rsid w:val="00F56372"/>
    <w:rsid w:val="00F62BC6"/>
    <w:rsid w:val="00F63FC4"/>
    <w:rsid w:val="00F65C29"/>
    <w:rsid w:val="00F66F92"/>
    <w:rsid w:val="00F66FB1"/>
    <w:rsid w:val="00F671AA"/>
    <w:rsid w:val="00F672DB"/>
    <w:rsid w:val="00F70434"/>
    <w:rsid w:val="00F7140A"/>
    <w:rsid w:val="00F7158F"/>
    <w:rsid w:val="00F7216F"/>
    <w:rsid w:val="00F73BD2"/>
    <w:rsid w:val="00F7423A"/>
    <w:rsid w:val="00F74B6F"/>
    <w:rsid w:val="00F812B9"/>
    <w:rsid w:val="00F82526"/>
    <w:rsid w:val="00F835CD"/>
    <w:rsid w:val="00F84D7D"/>
    <w:rsid w:val="00F863C9"/>
    <w:rsid w:val="00F86BF9"/>
    <w:rsid w:val="00F90331"/>
    <w:rsid w:val="00F90FC5"/>
    <w:rsid w:val="00F928D4"/>
    <w:rsid w:val="00F934CF"/>
    <w:rsid w:val="00F93CDD"/>
    <w:rsid w:val="00F9699F"/>
    <w:rsid w:val="00FA3357"/>
    <w:rsid w:val="00FA3D52"/>
    <w:rsid w:val="00FB195A"/>
    <w:rsid w:val="00FB591F"/>
    <w:rsid w:val="00FB5E5D"/>
    <w:rsid w:val="00FC0AEA"/>
    <w:rsid w:val="00FC1B56"/>
    <w:rsid w:val="00FC4D35"/>
    <w:rsid w:val="00FC7687"/>
    <w:rsid w:val="00FC7B02"/>
    <w:rsid w:val="00FD004F"/>
    <w:rsid w:val="00FD10A3"/>
    <w:rsid w:val="00FD113E"/>
    <w:rsid w:val="00FD3F0A"/>
    <w:rsid w:val="00FD7FAB"/>
    <w:rsid w:val="00FE2A58"/>
    <w:rsid w:val="00FE2C78"/>
    <w:rsid w:val="00FE36AE"/>
    <w:rsid w:val="00FE36E1"/>
    <w:rsid w:val="00FE3A68"/>
    <w:rsid w:val="00FE4474"/>
    <w:rsid w:val="00FE73FA"/>
    <w:rsid w:val="00FE74FD"/>
    <w:rsid w:val="00FE768B"/>
    <w:rsid w:val="00FE7C7A"/>
    <w:rsid w:val="00FF0336"/>
    <w:rsid w:val="00FF0EA0"/>
    <w:rsid w:val="00FF176C"/>
    <w:rsid w:val="00FF1A5B"/>
    <w:rsid w:val="00FF1F6F"/>
    <w:rsid w:val="00FF2B67"/>
    <w:rsid w:val="00FF2E99"/>
    <w:rsid w:val="00FF3BE8"/>
    <w:rsid w:val="00FF4D64"/>
    <w:rsid w:val="00FF5546"/>
    <w:rsid w:val="00FF67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E5609ED"/>
  <w15:chartTrackingRefBased/>
  <w15:docId w15:val="{9EE21AA6-BCC6-455A-AD37-E87A3F85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3A"/>
    <w:rPr>
      <w:sz w:val="24"/>
      <w:szCs w:val="24"/>
    </w:rPr>
  </w:style>
  <w:style w:type="paragraph" w:styleId="Heading1">
    <w:name w:val="heading 1"/>
    <w:basedOn w:val="Normal"/>
    <w:next w:val="Normal"/>
    <w:qFormat/>
    <w:rsid w:val="001B0993"/>
    <w:pPr>
      <w:keepNext/>
      <w:suppressAutoHyphens/>
      <w:spacing w:before="240" w:after="240"/>
      <w:jc w:val="both"/>
      <w:outlineLvl w:val="0"/>
    </w:pPr>
    <w:rPr>
      <w:b/>
      <w:smallCaps/>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rsid w:val="009F08D7"/>
    <w:pPr>
      <w:tabs>
        <w:tab w:val="left" w:pos="2302"/>
      </w:tabs>
      <w:suppressAutoHyphens/>
      <w:spacing w:after="240"/>
      <w:ind w:left="1202"/>
      <w:jc w:val="both"/>
    </w:pPr>
    <w:rPr>
      <w:szCs w:val="20"/>
      <w:lang w:val="fr-FR" w:eastAsia="ar-SA"/>
    </w:rPr>
  </w:style>
  <w:style w:type="paragraph" w:customStyle="1" w:styleId="Default">
    <w:name w:val="Default"/>
    <w:rsid w:val="00542990"/>
    <w:pPr>
      <w:autoSpaceDE w:val="0"/>
      <w:autoSpaceDN w:val="0"/>
      <w:adjustRightInd w:val="0"/>
    </w:pPr>
    <w:rPr>
      <w:rFonts w:ascii="Garamond" w:hAnsi="Garamond" w:cs="Garamond"/>
      <w:color w:val="000000"/>
      <w:sz w:val="24"/>
      <w:szCs w:val="24"/>
    </w:rPr>
  </w:style>
  <w:style w:type="character" w:styleId="Hyperlink">
    <w:name w:val="Hyperlink"/>
    <w:rsid w:val="00BC2E7A"/>
    <w:rPr>
      <w:color w:val="0000FF"/>
      <w:u w:val="single"/>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Footnot,Footnote,Fußnote"/>
    <w:basedOn w:val="Normal"/>
    <w:link w:val="FootnoteTextChar"/>
    <w:rsid w:val="001B0993"/>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1B0993"/>
    <w:rPr>
      <w:vertAlign w:val="superscript"/>
    </w:rPr>
  </w:style>
  <w:style w:type="paragraph" w:styleId="ListParagraph">
    <w:name w:val="List Paragraph"/>
    <w:aliases w:val="H&amp;P List Paragraph"/>
    <w:basedOn w:val="Normal"/>
    <w:link w:val="ListParagraphChar"/>
    <w:uiPriority w:val="34"/>
    <w:qFormat/>
    <w:rsid w:val="003A0466"/>
    <w:pPr>
      <w:ind w:left="720"/>
      <w:contextualSpacing/>
    </w:pPr>
    <w:rPr>
      <w:szCs w:val="22"/>
    </w:rPr>
  </w:style>
  <w:style w:type="paragraph" w:styleId="ListBullet">
    <w:name w:val="List Bullet"/>
    <w:basedOn w:val="Normal"/>
    <w:rsid w:val="003A0466"/>
    <w:pPr>
      <w:numPr>
        <w:numId w:val="3"/>
      </w:numPr>
      <w:suppressAutoHyphens/>
      <w:spacing w:after="240"/>
      <w:jc w:val="both"/>
    </w:pPr>
    <w:rPr>
      <w:szCs w:val="20"/>
      <w:lang w:val="fr-FR" w:eastAsia="ar-SA"/>
    </w:rPr>
  </w:style>
  <w:style w:type="paragraph" w:styleId="NormalWeb">
    <w:name w:val="Normal (Web)"/>
    <w:basedOn w:val="Normal"/>
    <w:uiPriority w:val="99"/>
    <w:rsid w:val="00B45C7E"/>
    <w:pPr>
      <w:spacing w:before="75" w:after="75"/>
    </w:pPr>
  </w:style>
  <w:style w:type="paragraph" w:customStyle="1" w:styleId="ListBullet1">
    <w:name w:val="List Bullet 1"/>
    <w:basedOn w:val="Normal"/>
    <w:rsid w:val="006D40FC"/>
    <w:pPr>
      <w:numPr>
        <w:numId w:val="2"/>
      </w:numPr>
      <w:suppressAutoHyphens/>
      <w:spacing w:after="240"/>
      <w:ind w:left="0" w:firstLine="0"/>
      <w:jc w:val="both"/>
    </w:pPr>
    <w:rPr>
      <w:szCs w:val="20"/>
      <w:lang w:val="fr-FR" w:eastAsia="ar-SA"/>
    </w:rPr>
  </w:style>
  <w:style w:type="paragraph" w:styleId="ListBullet2">
    <w:name w:val="List Bullet 2"/>
    <w:basedOn w:val="Normal"/>
    <w:rsid w:val="006D40FC"/>
    <w:pPr>
      <w:numPr>
        <w:numId w:val="4"/>
      </w:numPr>
    </w:pPr>
  </w:style>
  <w:style w:type="paragraph" w:styleId="Header">
    <w:name w:val="header"/>
    <w:basedOn w:val="Normal"/>
    <w:rsid w:val="00180A97"/>
    <w:pPr>
      <w:tabs>
        <w:tab w:val="center" w:pos="4153"/>
        <w:tab w:val="right" w:pos="8306"/>
      </w:tabs>
    </w:pPr>
  </w:style>
  <w:style w:type="paragraph" w:styleId="Footer">
    <w:name w:val="footer"/>
    <w:basedOn w:val="Normal"/>
    <w:link w:val="FooterChar"/>
    <w:uiPriority w:val="99"/>
    <w:rsid w:val="00180A97"/>
    <w:pPr>
      <w:tabs>
        <w:tab w:val="center" w:pos="4153"/>
        <w:tab w:val="right" w:pos="8306"/>
      </w:tabs>
    </w:pPr>
  </w:style>
  <w:style w:type="character" w:styleId="PageNumber">
    <w:name w:val="page number"/>
    <w:basedOn w:val="DefaultParagraphFont"/>
    <w:rsid w:val="0075575C"/>
  </w:style>
  <w:style w:type="character" w:styleId="FollowedHyperlink">
    <w:name w:val="FollowedHyperlink"/>
    <w:rsid w:val="009B40DC"/>
    <w:rPr>
      <w:color w:val="800080"/>
      <w:u w:val="single"/>
    </w:rPr>
  </w:style>
  <w:style w:type="character" w:styleId="CommentReference">
    <w:name w:val="annotation reference"/>
    <w:uiPriority w:val="99"/>
    <w:semiHidden/>
    <w:rsid w:val="00413D53"/>
    <w:rPr>
      <w:sz w:val="16"/>
      <w:szCs w:val="16"/>
    </w:rPr>
  </w:style>
  <w:style w:type="paragraph" w:styleId="CommentText">
    <w:name w:val="annotation text"/>
    <w:basedOn w:val="Normal"/>
    <w:link w:val="CommentTextChar"/>
    <w:uiPriority w:val="99"/>
    <w:rsid w:val="00413D53"/>
    <w:rPr>
      <w:sz w:val="20"/>
      <w:szCs w:val="20"/>
    </w:rPr>
  </w:style>
  <w:style w:type="paragraph" w:styleId="CommentSubject">
    <w:name w:val="annotation subject"/>
    <w:basedOn w:val="CommentText"/>
    <w:next w:val="CommentText"/>
    <w:semiHidden/>
    <w:rsid w:val="00413D53"/>
    <w:rPr>
      <w:b/>
      <w:bCs/>
    </w:rPr>
  </w:style>
  <w:style w:type="paragraph" w:styleId="BalloonText">
    <w:name w:val="Balloon Text"/>
    <w:basedOn w:val="Normal"/>
    <w:link w:val="BalloonTextChar"/>
    <w:semiHidden/>
    <w:rsid w:val="00413D53"/>
    <w:rPr>
      <w:rFonts w:ascii="Tahoma" w:hAnsi="Tahoma" w:cs="Tahoma"/>
      <w:sz w:val="16"/>
      <w:szCs w:val="16"/>
    </w:rPr>
  </w:style>
  <w:style w:type="paragraph" w:styleId="Revision">
    <w:name w:val="Revision"/>
    <w:hidden/>
    <w:uiPriority w:val="99"/>
    <w:semiHidden/>
    <w:rsid w:val="00D602EF"/>
    <w:rPr>
      <w:sz w:val="24"/>
      <w:szCs w:val="24"/>
    </w:rPr>
  </w:style>
  <w:style w:type="paragraph" w:customStyle="1" w:styleId="Text1">
    <w:name w:val="Text 1"/>
    <w:basedOn w:val="Normal"/>
    <w:rsid w:val="007C7207"/>
    <w:pPr>
      <w:spacing w:after="240"/>
      <w:ind w:left="482"/>
      <w:jc w:val="both"/>
    </w:pPr>
    <w:rPr>
      <w:snapToGrid w:val="0"/>
      <w:lang w:val="en-GB"/>
    </w:rPr>
  </w:style>
  <w:style w:type="paragraph" w:styleId="HTMLPreformatted">
    <w:name w:val="HTML Preformatted"/>
    <w:basedOn w:val="Normal"/>
    <w:link w:val="HTMLPreformattedChar"/>
    <w:rsid w:val="00D8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871A1"/>
    <w:rPr>
      <w:rFonts w:ascii="Courier New" w:hAnsi="Courier New" w:cs="Courier New"/>
    </w:rPr>
  </w:style>
  <w:style w:type="paragraph" w:styleId="Title">
    <w:name w:val="Title"/>
    <w:basedOn w:val="Normal"/>
    <w:next w:val="Normal"/>
    <w:link w:val="TitleChar"/>
    <w:qFormat/>
    <w:rsid w:val="00D92E00"/>
    <w:pPr>
      <w:spacing w:before="240" w:after="60"/>
      <w:jc w:val="center"/>
      <w:outlineLvl w:val="0"/>
    </w:pPr>
    <w:rPr>
      <w:rFonts w:ascii="Cambria" w:hAnsi="Cambria"/>
      <w:b/>
      <w:bCs/>
      <w:kern w:val="28"/>
      <w:sz w:val="32"/>
      <w:szCs w:val="32"/>
    </w:rPr>
  </w:style>
  <w:style w:type="character" w:customStyle="1" w:styleId="TitleChar">
    <w:name w:val="Title Char"/>
    <w:link w:val="Title"/>
    <w:rsid w:val="00D92E00"/>
    <w:rPr>
      <w:rFonts w:ascii="Cambria" w:eastAsia="Times New Roman" w:hAnsi="Cambria" w:cs="Times New Roman"/>
      <w:b/>
      <w:bCs/>
      <w:kern w:val="28"/>
      <w:sz w:val="32"/>
      <w:szCs w:val="32"/>
      <w:lang w:val="lv-LV" w:eastAsia="lv-LV"/>
    </w:rPr>
  </w:style>
  <w:style w:type="character" w:styleId="Strong">
    <w:name w:val="Strong"/>
    <w:uiPriority w:val="22"/>
    <w:qFormat/>
    <w:rsid w:val="003B446B"/>
    <w:rPr>
      <w:b/>
      <w:bCs/>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link w:val="FootnoteText"/>
    <w:rsid w:val="00595EAB"/>
  </w:style>
  <w:style w:type="character" w:customStyle="1" w:styleId="CommentTextChar">
    <w:name w:val="Comment Text Char"/>
    <w:link w:val="CommentText"/>
    <w:uiPriority w:val="99"/>
    <w:rsid w:val="00E8419D"/>
  </w:style>
  <w:style w:type="paragraph" w:styleId="PlainText">
    <w:name w:val="Plain Text"/>
    <w:basedOn w:val="Normal"/>
    <w:link w:val="PlainTextChar"/>
    <w:uiPriority w:val="99"/>
    <w:unhideWhenUsed/>
    <w:rsid w:val="00D356C0"/>
    <w:rPr>
      <w:rFonts w:ascii="Consolas" w:eastAsia="Calibri" w:hAnsi="Consolas"/>
      <w:sz w:val="21"/>
      <w:szCs w:val="21"/>
      <w:lang w:val="x-none" w:eastAsia="x-none"/>
    </w:rPr>
  </w:style>
  <w:style w:type="character" w:customStyle="1" w:styleId="PlainTextChar">
    <w:name w:val="Plain Text Char"/>
    <w:link w:val="PlainText"/>
    <w:uiPriority w:val="99"/>
    <w:rsid w:val="00D356C0"/>
    <w:rPr>
      <w:rFonts w:ascii="Consolas" w:eastAsia="Calibri" w:hAnsi="Consolas"/>
      <w:sz w:val="21"/>
      <w:szCs w:val="21"/>
      <w:lang w:val="x-none" w:eastAsia="x-none"/>
    </w:rPr>
  </w:style>
  <w:style w:type="character" w:customStyle="1" w:styleId="hps">
    <w:name w:val="hps"/>
    <w:rsid w:val="00701A90"/>
  </w:style>
  <w:style w:type="character" w:customStyle="1" w:styleId="FooterChar">
    <w:name w:val="Footer Char"/>
    <w:link w:val="Footer"/>
    <w:uiPriority w:val="99"/>
    <w:rsid w:val="002913DE"/>
    <w:rPr>
      <w:sz w:val="24"/>
      <w:szCs w:val="24"/>
    </w:rPr>
  </w:style>
  <w:style w:type="paragraph" w:customStyle="1" w:styleId="CM4">
    <w:name w:val="CM4"/>
    <w:basedOn w:val="Default"/>
    <w:next w:val="Default"/>
    <w:uiPriority w:val="99"/>
    <w:rsid w:val="00CD5912"/>
    <w:rPr>
      <w:rFonts w:ascii="EUAlbertina" w:hAnsi="EUAlbertina" w:cs="Times New Roman"/>
      <w:color w:val="auto"/>
    </w:rPr>
  </w:style>
  <w:style w:type="character" w:customStyle="1" w:styleId="ListParagraphChar">
    <w:name w:val="List Paragraph Char"/>
    <w:aliases w:val="H&amp;P List Paragraph Char"/>
    <w:link w:val="ListParagraph"/>
    <w:uiPriority w:val="34"/>
    <w:locked/>
    <w:rsid w:val="008621A2"/>
    <w:rPr>
      <w:sz w:val="24"/>
      <w:szCs w:val="22"/>
    </w:rPr>
  </w:style>
  <w:style w:type="paragraph" w:customStyle="1" w:styleId="CM1">
    <w:name w:val="CM1"/>
    <w:basedOn w:val="Default"/>
    <w:next w:val="Default"/>
    <w:uiPriority w:val="99"/>
    <w:rsid w:val="00BA73B2"/>
    <w:rPr>
      <w:rFonts w:ascii="EUAlbertina" w:hAnsi="EUAlbertina" w:cs="Times New Roman"/>
      <w:color w:val="auto"/>
    </w:rPr>
  </w:style>
  <w:style w:type="paragraph" w:customStyle="1" w:styleId="CM3">
    <w:name w:val="CM3"/>
    <w:basedOn w:val="Default"/>
    <w:next w:val="Default"/>
    <w:uiPriority w:val="99"/>
    <w:rsid w:val="00BA73B2"/>
    <w:rPr>
      <w:rFonts w:ascii="EUAlbertina" w:hAnsi="EUAlbertina" w:cs="Times New Roman"/>
      <w:color w:val="auto"/>
    </w:rPr>
  </w:style>
  <w:style w:type="character" w:customStyle="1" w:styleId="st1">
    <w:name w:val="st1"/>
    <w:basedOn w:val="DefaultParagraphFont"/>
    <w:rsid w:val="00F04009"/>
  </w:style>
  <w:style w:type="character" w:styleId="Emphasis">
    <w:name w:val="Emphasis"/>
    <w:basedOn w:val="DefaultParagraphFont"/>
    <w:uiPriority w:val="20"/>
    <w:qFormat/>
    <w:rsid w:val="00F04009"/>
    <w:rPr>
      <w:b/>
      <w:bCs/>
      <w:i w:val="0"/>
      <w:iCs w:val="0"/>
    </w:rPr>
  </w:style>
  <w:style w:type="paragraph" w:customStyle="1" w:styleId="CM13">
    <w:name w:val="CM1+3"/>
    <w:basedOn w:val="Default"/>
    <w:next w:val="Default"/>
    <w:uiPriority w:val="99"/>
    <w:rsid w:val="00346197"/>
    <w:rPr>
      <w:rFonts w:ascii="EUAlbertina" w:hAnsi="EUAlbertina" w:cs="Times New Roman"/>
      <w:color w:val="auto"/>
    </w:rPr>
  </w:style>
  <w:style w:type="paragraph" w:customStyle="1" w:styleId="CM33">
    <w:name w:val="CM3+3"/>
    <w:basedOn w:val="Default"/>
    <w:next w:val="Default"/>
    <w:uiPriority w:val="99"/>
    <w:rsid w:val="00346197"/>
    <w:rPr>
      <w:rFonts w:ascii="EUAlbertina" w:hAnsi="EUAlbertina" w:cs="Times New Roman"/>
      <w:color w:val="auto"/>
    </w:rPr>
  </w:style>
  <w:style w:type="character" w:customStyle="1" w:styleId="BalloonTextChar">
    <w:name w:val="Balloon Text Char"/>
    <w:basedOn w:val="DefaultParagraphFont"/>
    <w:link w:val="BalloonText"/>
    <w:semiHidden/>
    <w:rsid w:val="00EC4BF5"/>
    <w:rPr>
      <w:rFonts w:ascii="Tahoma" w:hAnsi="Tahoma" w:cs="Tahoma"/>
      <w:sz w:val="16"/>
      <w:szCs w:val="16"/>
    </w:rPr>
  </w:style>
  <w:style w:type="paragraph" w:customStyle="1" w:styleId="CM11">
    <w:name w:val="CM1+1"/>
    <w:basedOn w:val="Default"/>
    <w:next w:val="Default"/>
    <w:uiPriority w:val="99"/>
    <w:rsid w:val="00504B2C"/>
    <w:rPr>
      <w:rFonts w:ascii="EUAlbertina" w:hAnsi="EUAlbertina" w:cs="Times New Roman"/>
      <w:color w:val="auto"/>
    </w:rPr>
  </w:style>
  <w:style w:type="paragraph" w:customStyle="1" w:styleId="CM31">
    <w:name w:val="CM3+1"/>
    <w:basedOn w:val="Default"/>
    <w:next w:val="Default"/>
    <w:uiPriority w:val="99"/>
    <w:rsid w:val="00504B2C"/>
    <w:rPr>
      <w:rFonts w:ascii="EUAlbertina" w:hAnsi="EUAlbertina" w:cs="Times New Roman"/>
      <w:color w:val="auto"/>
    </w:rPr>
  </w:style>
  <w:style w:type="paragraph" w:customStyle="1" w:styleId="CM41">
    <w:name w:val="CM4+1"/>
    <w:basedOn w:val="Default"/>
    <w:next w:val="Default"/>
    <w:uiPriority w:val="99"/>
    <w:rsid w:val="00504B2C"/>
    <w:rPr>
      <w:rFonts w:ascii="EUAlbertina" w:hAnsi="EUAlbertina" w:cs="Times New Roman"/>
      <w:color w:val="auto"/>
    </w:rPr>
  </w:style>
  <w:style w:type="paragraph" w:customStyle="1" w:styleId="naisf">
    <w:name w:val="naisf"/>
    <w:basedOn w:val="Normal"/>
    <w:rsid w:val="00BD592E"/>
    <w:pPr>
      <w:spacing w:before="100" w:beforeAutospacing="1" w:after="100" w:afterAutospacing="1"/>
    </w:pPr>
  </w:style>
  <w:style w:type="paragraph" w:customStyle="1" w:styleId="tv213">
    <w:name w:val="tv213"/>
    <w:basedOn w:val="Normal"/>
    <w:rsid w:val="005C276E"/>
    <w:pPr>
      <w:spacing w:before="100" w:beforeAutospacing="1" w:after="100" w:afterAutospacing="1"/>
    </w:pPr>
  </w:style>
  <w:style w:type="paragraph" w:customStyle="1" w:styleId="tv2132">
    <w:name w:val="tv2132"/>
    <w:basedOn w:val="Normal"/>
    <w:rsid w:val="00A21A07"/>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24">
      <w:bodyDiv w:val="1"/>
      <w:marLeft w:val="0"/>
      <w:marRight w:val="0"/>
      <w:marTop w:val="0"/>
      <w:marBottom w:val="0"/>
      <w:divBdr>
        <w:top w:val="none" w:sz="0" w:space="0" w:color="auto"/>
        <w:left w:val="none" w:sz="0" w:space="0" w:color="auto"/>
        <w:bottom w:val="none" w:sz="0" w:space="0" w:color="auto"/>
        <w:right w:val="none" w:sz="0" w:space="0" w:color="auto"/>
      </w:divBdr>
    </w:div>
    <w:div w:id="57095758">
      <w:bodyDiv w:val="1"/>
      <w:marLeft w:val="0"/>
      <w:marRight w:val="0"/>
      <w:marTop w:val="0"/>
      <w:marBottom w:val="0"/>
      <w:divBdr>
        <w:top w:val="none" w:sz="0" w:space="0" w:color="auto"/>
        <w:left w:val="none" w:sz="0" w:space="0" w:color="auto"/>
        <w:bottom w:val="none" w:sz="0" w:space="0" w:color="auto"/>
        <w:right w:val="none" w:sz="0" w:space="0" w:color="auto"/>
      </w:divBdr>
      <w:divsChild>
        <w:div w:id="1407457835">
          <w:marLeft w:val="720"/>
          <w:marRight w:val="0"/>
          <w:marTop w:val="96"/>
          <w:marBottom w:val="0"/>
          <w:divBdr>
            <w:top w:val="none" w:sz="0" w:space="0" w:color="auto"/>
            <w:left w:val="none" w:sz="0" w:space="0" w:color="auto"/>
            <w:bottom w:val="none" w:sz="0" w:space="0" w:color="auto"/>
            <w:right w:val="none" w:sz="0" w:space="0" w:color="auto"/>
          </w:divBdr>
        </w:div>
        <w:div w:id="554582382">
          <w:marLeft w:val="720"/>
          <w:marRight w:val="0"/>
          <w:marTop w:val="96"/>
          <w:marBottom w:val="0"/>
          <w:divBdr>
            <w:top w:val="none" w:sz="0" w:space="0" w:color="auto"/>
            <w:left w:val="none" w:sz="0" w:space="0" w:color="auto"/>
            <w:bottom w:val="none" w:sz="0" w:space="0" w:color="auto"/>
            <w:right w:val="none" w:sz="0" w:space="0" w:color="auto"/>
          </w:divBdr>
        </w:div>
        <w:div w:id="323512994">
          <w:marLeft w:val="720"/>
          <w:marRight w:val="0"/>
          <w:marTop w:val="96"/>
          <w:marBottom w:val="0"/>
          <w:divBdr>
            <w:top w:val="none" w:sz="0" w:space="0" w:color="auto"/>
            <w:left w:val="none" w:sz="0" w:space="0" w:color="auto"/>
            <w:bottom w:val="none" w:sz="0" w:space="0" w:color="auto"/>
            <w:right w:val="none" w:sz="0" w:space="0" w:color="auto"/>
          </w:divBdr>
        </w:div>
      </w:divsChild>
    </w:div>
    <w:div w:id="58216094">
      <w:bodyDiv w:val="1"/>
      <w:marLeft w:val="0"/>
      <w:marRight w:val="0"/>
      <w:marTop w:val="0"/>
      <w:marBottom w:val="0"/>
      <w:divBdr>
        <w:top w:val="none" w:sz="0" w:space="0" w:color="auto"/>
        <w:left w:val="none" w:sz="0" w:space="0" w:color="auto"/>
        <w:bottom w:val="none" w:sz="0" w:space="0" w:color="auto"/>
        <w:right w:val="none" w:sz="0" w:space="0" w:color="auto"/>
      </w:divBdr>
    </w:div>
    <w:div w:id="73095510">
      <w:bodyDiv w:val="1"/>
      <w:marLeft w:val="0"/>
      <w:marRight w:val="0"/>
      <w:marTop w:val="0"/>
      <w:marBottom w:val="0"/>
      <w:divBdr>
        <w:top w:val="none" w:sz="0" w:space="0" w:color="auto"/>
        <w:left w:val="none" w:sz="0" w:space="0" w:color="auto"/>
        <w:bottom w:val="none" w:sz="0" w:space="0" w:color="auto"/>
        <w:right w:val="none" w:sz="0" w:space="0" w:color="auto"/>
      </w:divBdr>
    </w:div>
    <w:div w:id="97258603">
      <w:bodyDiv w:val="1"/>
      <w:marLeft w:val="0"/>
      <w:marRight w:val="0"/>
      <w:marTop w:val="0"/>
      <w:marBottom w:val="0"/>
      <w:divBdr>
        <w:top w:val="none" w:sz="0" w:space="0" w:color="auto"/>
        <w:left w:val="none" w:sz="0" w:space="0" w:color="auto"/>
        <w:bottom w:val="none" w:sz="0" w:space="0" w:color="auto"/>
        <w:right w:val="none" w:sz="0" w:space="0" w:color="auto"/>
      </w:divBdr>
    </w:div>
    <w:div w:id="193081247">
      <w:bodyDiv w:val="1"/>
      <w:marLeft w:val="0"/>
      <w:marRight w:val="0"/>
      <w:marTop w:val="0"/>
      <w:marBottom w:val="0"/>
      <w:divBdr>
        <w:top w:val="none" w:sz="0" w:space="0" w:color="auto"/>
        <w:left w:val="none" w:sz="0" w:space="0" w:color="auto"/>
        <w:bottom w:val="none" w:sz="0" w:space="0" w:color="auto"/>
        <w:right w:val="none" w:sz="0" w:space="0" w:color="auto"/>
      </w:divBdr>
    </w:div>
    <w:div w:id="193466078">
      <w:bodyDiv w:val="1"/>
      <w:marLeft w:val="0"/>
      <w:marRight w:val="0"/>
      <w:marTop w:val="0"/>
      <w:marBottom w:val="0"/>
      <w:divBdr>
        <w:top w:val="none" w:sz="0" w:space="0" w:color="auto"/>
        <w:left w:val="none" w:sz="0" w:space="0" w:color="auto"/>
        <w:bottom w:val="none" w:sz="0" w:space="0" w:color="auto"/>
        <w:right w:val="none" w:sz="0" w:space="0" w:color="auto"/>
      </w:divBdr>
    </w:div>
    <w:div w:id="250286576">
      <w:bodyDiv w:val="1"/>
      <w:marLeft w:val="0"/>
      <w:marRight w:val="0"/>
      <w:marTop w:val="0"/>
      <w:marBottom w:val="0"/>
      <w:divBdr>
        <w:top w:val="none" w:sz="0" w:space="0" w:color="auto"/>
        <w:left w:val="none" w:sz="0" w:space="0" w:color="auto"/>
        <w:bottom w:val="none" w:sz="0" w:space="0" w:color="auto"/>
        <w:right w:val="none" w:sz="0" w:space="0" w:color="auto"/>
      </w:divBdr>
    </w:div>
    <w:div w:id="258683272">
      <w:bodyDiv w:val="1"/>
      <w:marLeft w:val="0"/>
      <w:marRight w:val="0"/>
      <w:marTop w:val="0"/>
      <w:marBottom w:val="0"/>
      <w:divBdr>
        <w:top w:val="none" w:sz="0" w:space="0" w:color="auto"/>
        <w:left w:val="none" w:sz="0" w:space="0" w:color="auto"/>
        <w:bottom w:val="none" w:sz="0" w:space="0" w:color="auto"/>
        <w:right w:val="none" w:sz="0" w:space="0" w:color="auto"/>
      </w:divBdr>
    </w:div>
    <w:div w:id="283198037">
      <w:bodyDiv w:val="1"/>
      <w:marLeft w:val="0"/>
      <w:marRight w:val="0"/>
      <w:marTop w:val="0"/>
      <w:marBottom w:val="0"/>
      <w:divBdr>
        <w:top w:val="none" w:sz="0" w:space="0" w:color="auto"/>
        <w:left w:val="none" w:sz="0" w:space="0" w:color="auto"/>
        <w:bottom w:val="none" w:sz="0" w:space="0" w:color="auto"/>
        <w:right w:val="none" w:sz="0" w:space="0" w:color="auto"/>
      </w:divBdr>
    </w:div>
    <w:div w:id="305664725">
      <w:bodyDiv w:val="1"/>
      <w:marLeft w:val="0"/>
      <w:marRight w:val="0"/>
      <w:marTop w:val="0"/>
      <w:marBottom w:val="0"/>
      <w:divBdr>
        <w:top w:val="none" w:sz="0" w:space="0" w:color="auto"/>
        <w:left w:val="none" w:sz="0" w:space="0" w:color="auto"/>
        <w:bottom w:val="none" w:sz="0" w:space="0" w:color="auto"/>
        <w:right w:val="none" w:sz="0" w:space="0" w:color="auto"/>
      </w:divBdr>
      <w:divsChild>
        <w:div w:id="1062018474">
          <w:marLeft w:val="547"/>
          <w:marRight w:val="0"/>
          <w:marTop w:val="106"/>
          <w:marBottom w:val="0"/>
          <w:divBdr>
            <w:top w:val="none" w:sz="0" w:space="0" w:color="auto"/>
            <w:left w:val="none" w:sz="0" w:space="0" w:color="auto"/>
            <w:bottom w:val="none" w:sz="0" w:space="0" w:color="auto"/>
            <w:right w:val="none" w:sz="0" w:space="0" w:color="auto"/>
          </w:divBdr>
        </w:div>
        <w:div w:id="1000890472">
          <w:marLeft w:val="547"/>
          <w:marRight w:val="0"/>
          <w:marTop w:val="106"/>
          <w:marBottom w:val="0"/>
          <w:divBdr>
            <w:top w:val="none" w:sz="0" w:space="0" w:color="auto"/>
            <w:left w:val="none" w:sz="0" w:space="0" w:color="auto"/>
            <w:bottom w:val="none" w:sz="0" w:space="0" w:color="auto"/>
            <w:right w:val="none" w:sz="0" w:space="0" w:color="auto"/>
          </w:divBdr>
        </w:div>
      </w:divsChild>
    </w:div>
    <w:div w:id="337733969">
      <w:bodyDiv w:val="1"/>
      <w:marLeft w:val="0"/>
      <w:marRight w:val="0"/>
      <w:marTop w:val="0"/>
      <w:marBottom w:val="0"/>
      <w:divBdr>
        <w:top w:val="none" w:sz="0" w:space="0" w:color="auto"/>
        <w:left w:val="none" w:sz="0" w:space="0" w:color="auto"/>
        <w:bottom w:val="none" w:sz="0" w:space="0" w:color="auto"/>
        <w:right w:val="none" w:sz="0" w:space="0" w:color="auto"/>
      </w:divBdr>
    </w:div>
    <w:div w:id="370884192">
      <w:bodyDiv w:val="1"/>
      <w:marLeft w:val="0"/>
      <w:marRight w:val="0"/>
      <w:marTop w:val="0"/>
      <w:marBottom w:val="0"/>
      <w:divBdr>
        <w:top w:val="none" w:sz="0" w:space="0" w:color="auto"/>
        <w:left w:val="none" w:sz="0" w:space="0" w:color="auto"/>
        <w:bottom w:val="none" w:sz="0" w:space="0" w:color="auto"/>
        <w:right w:val="none" w:sz="0" w:space="0" w:color="auto"/>
      </w:divBdr>
    </w:div>
    <w:div w:id="432363684">
      <w:bodyDiv w:val="1"/>
      <w:marLeft w:val="450"/>
      <w:marRight w:val="450"/>
      <w:marTop w:val="450"/>
      <w:marBottom w:val="450"/>
      <w:divBdr>
        <w:top w:val="none" w:sz="0" w:space="0" w:color="auto"/>
        <w:left w:val="none" w:sz="0" w:space="0" w:color="auto"/>
        <w:bottom w:val="none" w:sz="0" w:space="0" w:color="auto"/>
        <w:right w:val="none" w:sz="0" w:space="0" w:color="auto"/>
      </w:divBdr>
      <w:divsChild>
        <w:div w:id="480124980">
          <w:marLeft w:val="0"/>
          <w:marRight w:val="0"/>
          <w:marTop w:val="0"/>
          <w:marBottom w:val="0"/>
          <w:divBdr>
            <w:top w:val="none" w:sz="0" w:space="0" w:color="auto"/>
            <w:left w:val="none" w:sz="0" w:space="0" w:color="auto"/>
            <w:bottom w:val="none" w:sz="0" w:space="0" w:color="auto"/>
            <w:right w:val="none" w:sz="0" w:space="0" w:color="auto"/>
          </w:divBdr>
        </w:div>
        <w:div w:id="2057969720">
          <w:marLeft w:val="0"/>
          <w:marRight w:val="0"/>
          <w:marTop w:val="0"/>
          <w:marBottom w:val="0"/>
          <w:divBdr>
            <w:top w:val="none" w:sz="0" w:space="0" w:color="auto"/>
            <w:left w:val="none" w:sz="0" w:space="0" w:color="auto"/>
            <w:bottom w:val="none" w:sz="0" w:space="0" w:color="auto"/>
            <w:right w:val="none" w:sz="0" w:space="0" w:color="auto"/>
          </w:divBdr>
        </w:div>
      </w:divsChild>
    </w:div>
    <w:div w:id="568927816">
      <w:bodyDiv w:val="1"/>
      <w:marLeft w:val="0"/>
      <w:marRight w:val="0"/>
      <w:marTop w:val="0"/>
      <w:marBottom w:val="0"/>
      <w:divBdr>
        <w:top w:val="none" w:sz="0" w:space="0" w:color="auto"/>
        <w:left w:val="none" w:sz="0" w:space="0" w:color="auto"/>
        <w:bottom w:val="none" w:sz="0" w:space="0" w:color="auto"/>
        <w:right w:val="none" w:sz="0" w:space="0" w:color="auto"/>
      </w:divBdr>
    </w:div>
    <w:div w:id="598102592">
      <w:bodyDiv w:val="1"/>
      <w:marLeft w:val="0"/>
      <w:marRight w:val="0"/>
      <w:marTop w:val="0"/>
      <w:marBottom w:val="0"/>
      <w:divBdr>
        <w:top w:val="none" w:sz="0" w:space="0" w:color="auto"/>
        <w:left w:val="none" w:sz="0" w:space="0" w:color="auto"/>
        <w:bottom w:val="none" w:sz="0" w:space="0" w:color="auto"/>
        <w:right w:val="none" w:sz="0" w:space="0" w:color="auto"/>
      </w:divBdr>
    </w:div>
    <w:div w:id="619578876">
      <w:bodyDiv w:val="1"/>
      <w:marLeft w:val="0"/>
      <w:marRight w:val="0"/>
      <w:marTop w:val="0"/>
      <w:marBottom w:val="0"/>
      <w:divBdr>
        <w:top w:val="none" w:sz="0" w:space="0" w:color="auto"/>
        <w:left w:val="none" w:sz="0" w:space="0" w:color="auto"/>
        <w:bottom w:val="none" w:sz="0" w:space="0" w:color="auto"/>
        <w:right w:val="none" w:sz="0" w:space="0" w:color="auto"/>
      </w:divBdr>
      <w:divsChild>
        <w:div w:id="387806782">
          <w:marLeft w:val="547"/>
          <w:marRight w:val="0"/>
          <w:marTop w:val="115"/>
          <w:marBottom w:val="0"/>
          <w:divBdr>
            <w:top w:val="none" w:sz="0" w:space="0" w:color="auto"/>
            <w:left w:val="none" w:sz="0" w:space="0" w:color="auto"/>
            <w:bottom w:val="none" w:sz="0" w:space="0" w:color="auto"/>
            <w:right w:val="none" w:sz="0" w:space="0" w:color="auto"/>
          </w:divBdr>
        </w:div>
        <w:div w:id="1348601434">
          <w:marLeft w:val="547"/>
          <w:marRight w:val="0"/>
          <w:marTop w:val="115"/>
          <w:marBottom w:val="0"/>
          <w:divBdr>
            <w:top w:val="none" w:sz="0" w:space="0" w:color="auto"/>
            <w:left w:val="none" w:sz="0" w:space="0" w:color="auto"/>
            <w:bottom w:val="none" w:sz="0" w:space="0" w:color="auto"/>
            <w:right w:val="none" w:sz="0" w:space="0" w:color="auto"/>
          </w:divBdr>
        </w:div>
        <w:div w:id="90584879">
          <w:marLeft w:val="547"/>
          <w:marRight w:val="0"/>
          <w:marTop w:val="115"/>
          <w:marBottom w:val="0"/>
          <w:divBdr>
            <w:top w:val="none" w:sz="0" w:space="0" w:color="auto"/>
            <w:left w:val="none" w:sz="0" w:space="0" w:color="auto"/>
            <w:bottom w:val="none" w:sz="0" w:space="0" w:color="auto"/>
            <w:right w:val="none" w:sz="0" w:space="0" w:color="auto"/>
          </w:divBdr>
        </w:div>
        <w:div w:id="2092315659">
          <w:marLeft w:val="547"/>
          <w:marRight w:val="0"/>
          <w:marTop w:val="115"/>
          <w:marBottom w:val="0"/>
          <w:divBdr>
            <w:top w:val="none" w:sz="0" w:space="0" w:color="auto"/>
            <w:left w:val="none" w:sz="0" w:space="0" w:color="auto"/>
            <w:bottom w:val="none" w:sz="0" w:space="0" w:color="auto"/>
            <w:right w:val="none" w:sz="0" w:space="0" w:color="auto"/>
          </w:divBdr>
        </w:div>
      </w:divsChild>
    </w:div>
    <w:div w:id="642200644">
      <w:bodyDiv w:val="1"/>
      <w:marLeft w:val="0"/>
      <w:marRight w:val="0"/>
      <w:marTop w:val="0"/>
      <w:marBottom w:val="0"/>
      <w:divBdr>
        <w:top w:val="none" w:sz="0" w:space="0" w:color="auto"/>
        <w:left w:val="none" w:sz="0" w:space="0" w:color="auto"/>
        <w:bottom w:val="none" w:sz="0" w:space="0" w:color="auto"/>
        <w:right w:val="none" w:sz="0" w:space="0" w:color="auto"/>
      </w:divBdr>
    </w:div>
    <w:div w:id="738212698">
      <w:bodyDiv w:val="1"/>
      <w:marLeft w:val="0"/>
      <w:marRight w:val="0"/>
      <w:marTop w:val="0"/>
      <w:marBottom w:val="0"/>
      <w:divBdr>
        <w:top w:val="none" w:sz="0" w:space="0" w:color="auto"/>
        <w:left w:val="none" w:sz="0" w:space="0" w:color="auto"/>
        <w:bottom w:val="none" w:sz="0" w:space="0" w:color="auto"/>
        <w:right w:val="none" w:sz="0" w:space="0" w:color="auto"/>
      </w:divBdr>
    </w:div>
    <w:div w:id="822089084">
      <w:bodyDiv w:val="1"/>
      <w:marLeft w:val="0"/>
      <w:marRight w:val="0"/>
      <w:marTop w:val="0"/>
      <w:marBottom w:val="0"/>
      <w:divBdr>
        <w:top w:val="none" w:sz="0" w:space="0" w:color="auto"/>
        <w:left w:val="none" w:sz="0" w:space="0" w:color="auto"/>
        <w:bottom w:val="none" w:sz="0" w:space="0" w:color="auto"/>
        <w:right w:val="none" w:sz="0" w:space="0" w:color="auto"/>
      </w:divBdr>
    </w:div>
    <w:div w:id="969016762">
      <w:bodyDiv w:val="1"/>
      <w:marLeft w:val="0"/>
      <w:marRight w:val="0"/>
      <w:marTop w:val="0"/>
      <w:marBottom w:val="0"/>
      <w:divBdr>
        <w:top w:val="none" w:sz="0" w:space="0" w:color="auto"/>
        <w:left w:val="none" w:sz="0" w:space="0" w:color="auto"/>
        <w:bottom w:val="none" w:sz="0" w:space="0" w:color="auto"/>
        <w:right w:val="none" w:sz="0" w:space="0" w:color="auto"/>
      </w:divBdr>
      <w:divsChild>
        <w:div w:id="86076341">
          <w:marLeft w:val="0"/>
          <w:marRight w:val="0"/>
          <w:marTop w:val="0"/>
          <w:marBottom w:val="0"/>
          <w:divBdr>
            <w:top w:val="none" w:sz="0" w:space="0" w:color="auto"/>
            <w:left w:val="none" w:sz="0" w:space="0" w:color="auto"/>
            <w:bottom w:val="none" w:sz="0" w:space="0" w:color="auto"/>
            <w:right w:val="none" w:sz="0" w:space="0" w:color="auto"/>
          </w:divBdr>
          <w:divsChild>
            <w:div w:id="1290816754">
              <w:marLeft w:val="0"/>
              <w:marRight w:val="0"/>
              <w:marTop w:val="0"/>
              <w:marBottom w:val="0"/>
              <w:divBdr>
                <w:top w:val="none" w:sz="0" w:space="0" w:color="auto"/>
                <w:left w:val="none" w:sz="0" w:space="0" w:color="auto"/>
                <w:bottom w:val="none" w:sz="0" w:space="0" w:color="auto"/>
                <w:right w:val="none" w:sz="0" w:space="0" w:color="auto"/>
              </w:divBdr>
              <w:divsChild>
                <w:div w:id="1456830911">
                  <w:marLeft w:val="0"/>
                  <w:marRight w:val="0"/>
                  <w:marTop w:val="0"/>
                  <w:marBottom w:val="0"/>
                  <w:divBdr>
                    <w:top w:val="none" w:sz="0" w:space="0" w:color="auto"/>
                    <w:left w:val="none" w:sz="0" w:space="0" w:color="auto"/>
                    <w:bottom w:val="none" w:sz="0" w:space="0" w:color="auto"/>
                    <w:right w:val="none" w:sz="0" w:space="0" w:color="auto"/>
                  </w:divBdr>
                  <w:divsChild>
                    <w:div w:id="1015112523">
                      <w:marLeft w:val="0"/>
                      <w:marRight w:val="0"/>
                      <w:marTop w:val="0"/>
                      <w:marBottom w:val="0"/>
                      <w:divBdr>
                        <w:top w:val="none" w:sz="0" w:space="0" w:color="auto"/>
                        <w:left w:val="none" w:sz="0" w:space="0" w:color="auto"/>
                        <w:bottom w:val="none" w:sz="0" w:space="0" w:color="auto"/>
                        <w:right w:val="none" w:sz="0" w:space="0" w:color="auto"/>
                      </w:divBdr>
                      <w:divsChild>
                        <w:div w:id="379014354">
                          <w:marLeft w:val="0"/>
                          <w:marRight w:val="0"/>
                          <w:marTop w:val="0"/>
                          <w:marBottom w:val="0"/>
                          <w:divBdr>
                            <w:top w:val="none" w:sz="0" w:space="0" w:color="auto"/>
                            <w:left w:val="none" w:sz="0" w:space="0" w:color="auto"/>
                            <w:bottom w:val="none" w:sz="0" w:space="0" w:color="auto"/>
                            <w:right w:val="none" w:sz="0" w:space="0" w:color="auto"/>
                          </w:divBdr>
                          <w:divsChild>
                            <w:div w:id="12801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89190">
      <w:bodyDiv w:val="1"/>
      <w:marLeft w:val="0"/>
      <w:marRight w:val="0"/>
      <w:marTop w:val="0"/>
      <w:marBottom w:val="0"/>
      <w:divBdr>
        <w:top w:val="none" w:sz="0" w:space="0" w:color="auto"/>
        <w:left w:val="none" w:sz="0" w:space="0" w:color="auto"/>
        <w:bottom w:val="none" w:sz="0" w:space="0" w:color="auto"/>
        <w:right w:val="none" w:sz="0" w:space="0" w:color="auto"/>
      </w:divBdr>
    </w:div>
    <w:div w:id="1161459928">
      <w:bodyDiv w:val="1"/>
      <w:marLeft w:val="0"/>
      <w:marRight w:val="0"/>
      <w:marTop w:val="0"/>
      <w:marBottom w:val="0"/>
      <w:divBdr>
        <w:top w:val="none" w:sz="0" w:space="0" w:color="auto"/>
        <w:left w:val="none" w:sz="0" w:space="0" w:color="auto"/>
        <w:bottom w:val="none" w:sz="0" w:space="0" w:color="auto"/>
        <w:right w:val="none" w:sz="0" w:space="0" w:color="auto"/>
      </w:divBdr>
    </w:div>
    <w:div w:id="1275598976">
      <w:bodyDiv w:val="1"/>
      <w:marLeft w:val="0"/>
      <w:marRight w:val="0"/>
      <w:marTop w:val="0"/>
      <w:marBottom w:val="0"/>
      <w:divBdr>
        <w:top w:val="none" w:sz="0" w:space="0" w:color="auto"/>
        <w:left w:val="none" w:sz="0" w:space="0" w:color="auto"/>
        <w:bottom w:val="none" w:sz="0" w:space="0" w:color="auto"/>
        <w:right w:val="none" w:sz="0" w:space="0" w:color="auto"/>
      </w:divBdr>
    </w:div>
    <w:div w:id="1291478654">
      <w:bodyDiv w:val="1"/>
      <w:marLeft w:val="0"/>
      <w:marRight w:val="0"/>
      <w:marTop w:val="0"/>
      <w:marBottom w:val="0"/>
      <w:divBdr>
        <w:top w:val="none" w:sz="0" w:space="0" w:color="auto"/>
        <w:left w:val="none" w:sz="0" w:space="0" w:color="auto"/>
        <w:bottom w:val="none" w:sz="0" w:space="0" w:color="auto"/>
        <w:right w:val="none" w:sz="0" w:space="0" w:color="auto"/>
      </w:divBdr>
    </w:div>
    <w:div w:id="1348946138">
      <w:bodyDiv w:val="1"/>
      <w:marLeft w:val="0"/>
      <w:marRight w:val="0"/>
      <w:marTop w:val="0"/>
      <w:marBottom w:val="0"/>
      <w:divBdr>
        <w:top w:val="none" w:sz="0" w:space="0" w:color="auto"/>
        <w:left w:val="none" w:sz="0" w:space="0" w:color="auto"/>
        <w:bottom w:val="none" w:sz="0" w:space="0" w:color="auto"/>
        <w:right w:val="none" w:sz="0" w:space="0" w:color="auto"/>
      </w:divBdr>
    </w:div>
    <w:div w:id="1448350669">
      <w:bodyDiv w:val="1"/>
      <w:marLeft w:val="0"/>
      <w:marRight w:val="0"/>
      <w:marTop w:val="0"/>
      <w:marBottom w:val="0"/>
      <w:divBdr>
        <w:top w:val="none" w:sz="0" w:space="0" w:color="auto"/>
        <w:left w:val="none" w:sz="0" w:space="0" w:color="auto"/>
        <w:bottom w:val="none" w:sz="0" w:space="0" w:color="auto"/>
        <w:right w:val="none" w:sz="0" w:space="0" w:color="auto"/>
      </w:divBdr>
    </w:div>
    <w:div w:id="1659840462">
      <w:bodyDiv w:val="1"/>
      <w:marLeft w:val="0"/>
      <w:marRight w:val="0"/>
      <w:marTop w:val="0"/>
      <w:marBottom w:val="0"/>
      <w:divBdr>
        <w:top w:val="none" w:sz="0" w:space="0" w:color="auto"/>
        <w:left w:val="none" w:sz="0" w:space="0" w:color="auto"/>
        <w:bottom w:val="none" w:sz="0" w:space="0" w:color="auto"/>
        <w:right w:val="none" w:sz="0" w:space="0" w:color="auto"/>
      </w:divBdr>
      <w:divsChild>
        <w:div w:id="148329037">
          <w:marLeft w:val="1166"/>
          <w:marRight w:val="0"/>
          <w:marTop w:val="96"/>
          <w:marBottom w:val="0"/>
          <w:divBdr>
            <w:top w:val="none" w:sz="0" w:space="0" w:color="auto"/>
            <w:left w:val="none" w:sz="0" w:space="0" w:color="auto"/>
            <w:bottom w:val="none" w:sz="0" w:space="0" w:color="auto"/>
            <w:right w:val="none" w:sz="0" w:space="0" w:color="auto"/>
          </w:divBdr>
        </w:div>
        <w:div w:id="487596618">
          <w:marLeft w:val="1166"/>
          <w:marRight w:val="0"/>
          <w:marTop w:val="96"/>
          <w:marBottom w:val="0"/>
          <w:divBdr>
            <w:top w:val="none" w:sz="0" w:space="0" w:color="auto"/>
            <w:left w:val="none" w:sz="0" w:space="0" w:color="auto"/>
            <w:bottom w:val="none" w:sz="0" w:space="0" w:color="auto"/>
            <w:right w:val="none" w:sz="0" w:space="0" w:color="auto"/>
          </w:divBdr>
        </w:div>
        <w:div w:id="1445076797">
          <w:marLeft w:val="547"/>
          <w:marRight w:val="0"/>
          <w:marTop w:val="115"/>
          <w:marBottom w:val="0"/>
          <w:divBdr>
            <w:top w:val="none" w:sz="0" w:space="0" w:color="auto"/>
            <w:left w:val="none" w:sz="0" w:space="0" w:color="auto"/>
            <w:bottom w:val="none" w:sz="0" w:space="0" w:color="auto"/>
            <w:right w:val="none" w:sz="0" w:space="0" w:color="auto"/>
          </w:divBdr>
        </w:div>
        <w:div w:id="1915318808">
          <w:marLeft w:val="1166"/>
          <w:marRight w:val="0"/>
          <w:marTop w:val="96"/>
          <w:marBottom w:val="0"/>
          <w:divBdr>
            <w:top w:val="none" w:sz="0" w:space="0" w:color="auto"/>
            <w:left w:val="none" w:sz="0" w:space="0" w:color="auto"/>
            <w:bottom w:val="none" w:sz="0" w:space="0" w:color="auto"/>
            <w:right w:val="none" w:sz="0" w:space="0" w:color="auto"/>
          </w:divBdr>
        </w:div>
      </w:divsChild>
    </w:div>
    <w:div w:id="1768771756">
      <w:bodyDiv w:val="1"/>
      <w:marLeft w:val="0"/>
      <w:marRight w:val="0"/>
      <w:marTop w:val="0"/>
      <w:marBottom w:val="0"/>
      <w:divBdr>
        <w:top w:val="none" w:sz="0" w:space="0" w:color="auto"/>
        <w:left w:val="none" w:sz="0" w:space="0" w:color="auto"/>
        <w:bottom w:val="none" w:sz="0" w:space="0" w:color="auto"/>
        <w:right w:val="none" w:sz="0" w:space="0" w:color="auto"/>
      </w:divBdr>
      <w:divsChild>
        <w:div w:id="859782401">
          <w:marLeft w:val="547"/>
          <w:marRight w:val="0"/>
          <w:marTop w:val="200"/>
          <w:marBottom w:val="0"/>
          <w:divBdr>
            <w:top w:val="none" w:sz="0" w:space="0" w:color="auto"/>
            <w:left w:val="none" w:sz="0" w:space="0" w:color="auto"/>
            <w:bottom w:val="none" w:sz="0" w:space="0" w:color="auto"/>
            <w:right w:val="none" w:sz="0" w:space="0" w:color="auto"/>
          </w:divBdr>
        </w:div>
      </w:divsChild>
    </w:div>
    <w:div w:id="1810247020">
      <w:bodyDiv w:val="1"/>
      <w:marLeft w:val="0"/>
      <w:marRight w:val="0"/>
      <w:marTop w:val="0"/>
      <w:marBottom w:val="0"/>
      <w:divBdr>
        <w:top w:val="none" w:sz="0" w:space="0" w:color="auto"/>
        <w:left w:val="none" w:sz="0" w:space="0" w:color="auto"/>
        <w:bottom w:val="none" w:sz="0" w:space="0" w:color="auto"/>
        <w:right w:val="none" w:sz="0" w:space="0" w:color="auto"/>
      </w:divBdr>
    </w:div>
    <w:div w:id="1957368334">
      <w:bodyDiv w:val="1"/>
      <w:marLeft w:val="0"/>
      <w:marRight w:val="0"/>
      <w:marTop w:val="0"/>
      <w:marBottom w:val="0"/>
      <w:divBdr>
        <w:top w:val="none" w:sz="0" w:space="0" w:color="auto"/>
        <w:left w:val="none" w:sz="0" w:space="0" w:color="auto"/>
        <w:bottom w:val="none" w:sz="0" w:space="0" w:color="auto"/>
        <w:right w:val="none" w:sz="0" w:space="0" w:color="auto"/>
      </w:divBdr>
    </w:div>
    <w:div w:id="1986541599">
      <w:bodyDiv w:val="1"/>
      <w:marLeft w:val="0"/>
      <w:marRight w:val="0"/>
      <w:marTop w:val="0"/>
      <w:marBottom w:val="0"/>
      <w:divBdr>
        <w:top w:val="none" w:sz="0" w:space="0" w:color="auto"/>
        <w:left w:val="none" w:sz="0" w:space="0" w:color="auto"/>
        <w:bottom w:val="none" w:sz="0" w:space="0" w:color="auto"/>
        <w:right w:val="none" w:sz="0" w:space="0" w:color="auto"/>
      </w:divBdr>
      <w:divsChild>
        <w:div w:id="1285622150">
          <w:marLeft w:val="0"/>
          <w:marRight w:val="0"/>
          <w:marTop w:val="0"/>
          <w:marBottom w:val="0"/>
          <w:divBdr>
            <w:top w:val="none" w:sz="0" w:space="0" w:color="auto"/>
            <w:left w:val="none" w:sz="0" w:space="0" w:color="auto"/>
            <w:bottom w:val="none" w:sz="0" w:space="0" w:color="auto"/>
            <w:right w:val="none" w:sz="0" w:space="0" w:color="auto"/>
          </w:divBdr>
          <w:divsChild>
            <w:div w:id="1924601950">
              <w:marLeft w:val="0"/>
              <w:marRight w:val="0"/>
              <w:marTop w:val="0"/>
              <w:marBottom w:val="0"/>
              <w:divBdr>
                <w:top w:val="none" w:sz="0" w:space="0" w:color="auto"/>
                <w:left w:val="none" w:sz="0" w:space="0" w:color="auto"/>
                <w:bottom w:val="none" w:sz="0" w:space="0" w:color="auto"/>
                <w:right w:val="none" w:sz="0" w:space="0" w:color="auto"/>
              </w:divBdr>
              <w:divsChild>
                <w:div w:id="1630159643">
                  <w:marLeft w:val="0"/>
                  <w:marRight w:val="0"/>
                  <w:marTop w:val="0"/>
                  <w:marBottom w:val="0"/>
                  <w:divBdr>
                    <w:top w:val="none" w:sz="0" w:space="0" w:color="auto"/>
                    <w:left w:val="none" w:sz="0" w:space="0" w:color="auto"/>
                    <w:bottom w:val="none" w:sz="0" w:space="0" w:color="auto"/>
                    <w:right w:val="none" w:sz="0" w:space="0" w:color="auto"/>
                  </w:divBdr>
                  <w:divsChild>
                    <w:div w:id="651300851">
                      <w:marLeft w:val="1"/>
                      <w:marRight w:val="1"/>
                      <w:marTop w:val="0"/>
                      <w:marBottom w:val="0"/>
                      <w:divBdr>
                        <w:top w:val="none" w:sz="0" w:space="0" w:color="auto"/>
                        <w:left w:val="none" w:sz="0" w:space="0" w:color="auto"/>
                        <w:bottom w:val="none" w:sz="0" w:space="0" w:color="auto"/>
                        <w:right w:val="none" w:sz="0" w:space="0" w:color="auto"/>
                      </w:divBdr>
                      <w:divsChild>
                        <w:div w:id="1463960155">
                          <w:marLeft w:val="0"/>
                          <w:marRight w:val="0"/>
                          <w:marTop w:val="0"/>
                          <w:marBottom w:val="0"/>
                          <w:divBdr>
                            <w:top w:val="none" w:sz="0" w:space="0" w:color="auto"/>
                            <w:left w:val="none" w:sz="0" w:space="0" w:color="auto"/>
                            <w:bottom w:val="none" w:sz="0" w:space="0" w:color="auto"/>
                            <w:right w:val="none" w:sz="0" w:space="0" w:color="auto"/>
                          </w:divBdr>
                          <w:divsChild>
                            <w:div w:id="1432356463">
                              <w:marLeft w:val="0"/>
                              <w:marRight w:val="0"/>
                              <w:marTop w:val="0"/>
                              <w:marBottom w:val="360"/>
                              <w:divBdr>
                                <w:top w:val="none" w:sz="0" w:space="0" w:color="auto"/>
                                <w:left w:val="none" w:sz="0" w:space="0" w:color="auto"/>
                                <w:bottom w:val="none" w:sz="0" w:space="0" w:color="auto"/>
                                <w:right w:val="none" w:sz="0" w:space="0" w:color="auto"/>
                              </w:divBdr>
                              <w:divsChild>
                                <w:div w:id="1636568130">
                                  <w:marLeft w:val="0"/>
                                  <w:marRight w:val="0"/>
                                  <w:marTop w:val="0"/>
                                  <w:marBottom w:val="0"/>
                                  <w:divBdr>
                                    <w:top w:val="none" w:sz="0" w:space="0" w:color="auto"/>
                                    <w:left w:val="none" w:sz="0" w:space="0" w:color="auto"/>
                                    <w:bottom w:val="none" w:sz="0" w:space="0" w:color="auto"/>
                                    <w:right w:val="none" w:sz="0" w:space="0" w:color="auto"/>
                                  </w:divBdr>
                                  <w:divsChild>
                                    <w:div w:id="1783304215">
                                      <w:marLeft w:val="0"/>
                                      <w:marRight w:val="0"/>
                                      <w:marTop w:val="0"/>
                                      <w:marBottom w:val="0"/>
                                      <w:divBdr>
                                        <w:top w:val="none" w:sz="0" w:space="0" w:color="auto"/>
                                        <w:left w:val="none" w:sz="0" w:space="0" w:color="auto"/>
                                        <w:bottom w:val="none" w:sz="0" w:space="0" w:color="auto"/>
                                        <w:right w:val="none" w:sz="0" w:space="0" w:color="auto"/>
                                      </w:divBdr>
                                      <w:divsChild>
                                        <w:div w:id="519587280">
                                          <w:marLeft w:val="0"/>
                                          <w:marRight w:val="0"/>
                                          <w:marTop w:val="0"/>
                                          <w:marBottom w:val="0"/>
                                          <w:divBdr>
                                            <w:top w:val="none" w:sz="0" w:space="0" w:color="auto"/>
                                            <w:left w:val="none" w:sz="0" w:space="0" w:color="auto"/>
                                            <w:bottom w:val="none" w:sz="0" w:space="0" w:color="auto"/>
                                            <w:right w:val="none" w:sz="0" w:space="0" w:color="auto"/>
                                          </w:divBdr>
                                          <w:divsChild>
                                            <w:div w:id="941109973">
                                              <w:marLeft w:val="0"/>
                                              <w:marRight w:val="0"/>
                                              <w:marTop w:val="0"/>
                                              <w:marBottom w:val="0"/>
                                              <w:divBdr>
                                                <w:top w:val="none" w:sz="0" w:space="0" w:color="auto"/>
                                                <w:left w:val="none" w:sz="0" w:space="0" w:color="auto"/>
                                                <w:bottom w:val="none" w:sz="0" w:space="0" w:color="auto"/>
                                                <w:right w:val="none" w:sz="0" w:space="0" w:color="auto"/>
                                              </w:divBdr>
                                              <w:divsChild>
                                                <w:div w:id="498346375">
                                                  <w:marLeft w:val="0"/>
                                                  <w:marRight w:val="0"/>
                                                  <w:marTop w:val="0"/>
                                                  <w:marBottom w:val="0"/>
                                                  <w:divBdr>
                                                    <w:top w:val="none" w:sz="0" w:space="0" w:color="auto"/>
                                                    <w:left w:val="none" w:sz="0" w:space="0" w:color="auto"/>
                                                    <w:bottom w:val="none" w:sz="0" w:space="0" w:color="auto"/>
                                                    <w:right w:val="none" w:sz="0" w:space="0" w:color="auto"/>
                                                  </w:divBdr>
                                                  <w:divsChild>
                                                    <w:div w:id="8156890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996494151">
      <w:bodyDiv w:val="1"/>
      <w:marLeft w:val="0"/>
      <w:marRight w:val="0"/>
      <w:marTop w:val="0"/>
      <w:marBottom w:val="0"/>
      <w:divBdr>
        <w:top w:val="none" w:sz="0" w:space="0" w:color="auto"/>
        <w:left w:val="none" w:sz="0" w:space="0" w:color="auto"/>
        <w:bottom w:val="none" w:sz="0" w:space="0" w:color="auto"/>
        <w:right w:val="none" w:sz="0" w:space="0" w:color="auto"/>
      </w:divBdr>
    </w:div>
    <w:div w:id="2015835749">
      <w:bodyDiv w:val="1"/>
      <w:marLeft w:val="0"/>
      <w:marRight w:val="0"/>
      <w:marTop w:val="0"/>
      <w:marBottom w:val="0"/>
      <w:divBdr>
        <w:top w:val="none" w:sz="0" w:space="0" w:color="auto"/>
        <w:left w:val="none" w:sz="0" w:space="0" w:color="auto"/>
        <w:bottom w:val="none" w:sz="0" w:space="0" w:color="auto"/>
        <w:right w:val="none" w:sz="0" w:space="0" w:color="auto"/>
      </w:divBdr>
    </w:div>
    <w:div w:id="2100179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ondi.lv/page.php?id=1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sites/default/files/07.09.18_Biezak_konstat_kludas%202018_gala_m-lapai.pdf" TargetMode="External"/><Relationship Id="rId3" Type="http://schemas.openxmlformats.org/officeDocument/2006/relationships/hyperlink" Target="https://eur-lex.europa.eu/legal-content/LV/TXT/?uri=celex%3A32018R1046" TargetMode="External"/><Relationship Id="rId7" Type="http://schemas.openxmlformats.org/officeDocument/2006/relationships/hyperlink" Target="https://eur-lex.europa.eu/legal-content/LV/TXT/PDF/?uri=CELEX:52006XC0801(01)&amp;from=LV" TargetMode="External"/><Relationship Id="rId12" Type="http://schemas.openxmlformats.org/officeDocument/2006/relationships/hyperlink" Target="https://ec.europa.eu/sfc/sites/sfc2014/files/sfc-files/guide-conflict-of-interests-LV.pdf" TargetMode="External"/><Relationship Id="rId2" Type="http://schemas.openxmlformats.org/officeDocument/2006/relationships/hyperlink" Target="http://www.esfondi.lv/upload/02-kohezijas_fonds/Lielie_projekti/EK_vadl_par_viltotu_dok_identif_EN.pdf" TargetMode="External"/><Relationship Id="rId1" Type="http://schemas.openxmlformats.org/officeDocument/2006/relationships/hyperlink" Target="http://m.esfondi.lv/upload/01-strukturfondi/petijumi/rokasgramata-100708-final.pdf" TargetMode="External"/><Relationship Id="rId6" Type="http://schemas.openxmlformats.org/officeDocument/2006/relationships/hyperlink" Target="https://eur-lex.europa.eu/legal-content/LV/TXT/PDF/?uri=CELEX:52006XC0801(01)&amp;from=LV" TargetMode="External"/><Relationship Id="rId11" Type="http://schemas.openxmlformats.org/officeDocument/2006/relationships/hyperlink" Target="https://likumi.lv/ta/id/289082-noteikumi-par-iepirkuma-proceduru-un-tas-piemerosanas-kartibu-pasutitaja-finansetiem-projektiem" TargetMode="External"/><Relationship Id="rId5" Type="http://schemas.openxmlformats.org/officeDocument/2006/relationships/hyperlink" Target="https://eur-lex.europa.eu/legal-content/LV/TXT/PDF/?uri=CELEX:52006XC0801(01)&amp;from=LV" TargetMode="External"/><Relationship Id="rId10" Type="http://schemas.openxmlformats.org/officeDocument/2006/relationships/hyperlink" Target="https://ec.europa.eu/sfc/sites/sfc2014/files/sfc-files/guide-conflict-of-interests-LV.pdf" TargetMode="External"/><Relationship Id="rId4" Type="http://schemas.openxmlformats.org/officeDocument/2006/relationships/hyperlink" Target="http://www.esfondi.lv/page.php?id=1196" TargetMode="External"/><Relationship Id="rId9" Type="http://schemas.openxmlformats.org/officeDocument/2006/relationships/hyperlink" Target="https://www.iub.gov.lv/sites/default/files/07.09.18_Biezak_konstat_kludas%202018_gala_m-lap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21A0-B4A0-4006-AB89-CEDCFBC2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6759</Words>
  <Characters>47567</Characters>
  <Application>Microsoft Office Word</Application>
  <DocSecurity>4</DocSecurity>
  <Lines>396</Lines>
  <Paragraphs>108</Paragraphs>
  <ScaleCrop>false</ScaleCrop>
  <HeadingPairs>
    <vt:vector size="2" baseType="variant">
      <vt:variant>
        <vt:lpstr>Title</vt:lpstr>
      </vt:variant>
      <vt:variant>
        <vt:i4>1</vt:i4>
      </vt:variant>
    </vt:vector>
  </HeadingPairs>
  <TitlesOfParts>
    <vt:vector size="1" baseType="lpstr">
      <vt:lpstr>2</vt:lpstr>
    </vt:vector>
  </TitlesOfParts>
  <Company>LT</Company>
  <LinksUpToDate>false</LinksUpToDate>
  <CharactersWithSpaces>54218</CharactersWithSpaces>
  <SharedDoc>false</SharedDoc>
  <HLinks>
    <vt:vector size="36" baseType="variant">
      <vt:variant>
        <vt:i4>3866746</vt:i4>
      </vt:variant>
      <vt:variant>
        <vt:i4>0</vt:i4>
      </vt:variant>
      <vt:variant>
        <vt:i4>0</vt:i4>
      </vt:variant>
      <vt:variant>
        <vt:i4>5</vt:i4>
      </vt:variant>
      <vt:variant>
        <vt:lpwstr>http://www.esfondi.lv/page.php?id=1017</vt:lpwstr>
      </vt:variant>
      <vt:variant>
        <vt:lpwstr/>
      </vt:variant>
      <vt:variant>
        <vt:i4>4784153</vt:i4>
      </vt:variant>
      <vt:variant>
        <vt:i4>12</vt:i4>
      </vt:variant>
      <vt:variant>
        <vt:i4>0</vt:i4>
      </vt:variant>
      <vt:variant>
        <vt:i4>5</vt:i4>
      </vt:variant>
      <vt:variant>
        <vt:lpwstr>http://www.esfondi.lv/upload/02-kohezijas_fonds/Lielie_projekti/EK_vadl_par_interesu_konflikta_identif_publ_iepirk_EN.pdf</vt:lpwstr>
      </vt:variant>
      <vt:variant>
        <vt:lpwstr/>
      </vt:variant>
      <vt:variant>
        <vt:i4>5439490</vt:i4>
      </vt:variant>
      <vt:variant>
        <vt:i4>9</vt:i4>
      </vt:variant>
      <vt:variant>
        <vt:i4>0</vt:i4>
      </vt:variant>
      <vt:variant>
        <vt:i4>5</vt:i4>
      </vt:variant>
      <vt:variant>
        <vt:lpwstr>http://www.esfondi.lv/upload/00-vadlinijas/vadlinijas_2014/Vadliniju_pielikums.pdf</vt:lpwstr>
      </vt:variant>
      <vt:variant>
        <vt:lpwstr/>
      </vt:variant>
      <vt:variant>
        <vt:i4>7209036</vt:i4>
      </vt:variant>
      <vt:variant>
        <vt:i4>6</vt:i4>
      </vt:variant>
      <vt:variant>
        <vt:i4>0</vt:i4>
      </vt:variant>
      <vt:variant>
        <vt:i4>5</vt:i4>
      </vt:variant>
      <vt:variant>
        <vt:lpwstr>http://ec.europa.eu/regional_policy/sources/docoffic/cocof/2013/cocof_13_9527_annexe_en.pdf</vt:lpwstr>
      </vt:variant>
      <vt:variant>
        <vt:lpwstr/>
      </vt:variant>
      <vt:variant>
        <vt:i4>3866738</vt:i4>
      </vt:variant>
      <vt:variant>
        <vt:i4>3</vt:i4>
      </vt:variant>
      <vt:variant>
        <vt:i4>0</vt:i4>
      </vt:variant>
      <vt:variant>
        <vt:i4>5</vt:i4>
      </vt:variant>
      <vt:variant>
        <vt:lpwstr>http://www.esfondi.lv/page.php?id=1196</vt:lpwstr>
      </vt:variant>
      <vt:variant>
        <vt:lpwstr/>
      </vt:variant>
      <vt:variant>
        <vt:i4>6815776</vt:i4>
      </vt:variant>
      <vt:variant>
        <vt:i4>0</vt:i4>
      </vt:variant>
      <vt:variant>
        <vt:i4>0</vt:i4>
      </vt:variant>
      <vt:variant>
        <vt:i4>5</vt:i4>
      </vt:variant>
      <vt:variant>
        <vt:lpwstr>http://www.esfondi.lv/upload/02-kohezijas_fonds/Lielie_projekti/EK_vadl_par_viltotu_dok_identif_EN.pdf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fvd-apsen</dc:creator>
  <cp:keywords/>
  <dc:description/>
  <cp:lastModifiedBy>Lauma Lazdiņa</cp:lastModifiedBy>
  <cp:revision>2</cp:revision>
  <cp:lastPrinted>2018-12-19T09:14:00Z</cp:lastPrinted>
  <dcterms:created xsi:type="dcterms:W3CDTF">2019-02-27T08:57:00Z</dcterms:created>
  <dcterms:modified xsi:type="dcterms:W3CDTF">2019-02-27T08:57:00Z</dcterms:modified>
</cp:coreProperties>
</file>